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cs="Times New Roman"/>
          <w:b/>
          <w:sz w:val="48"/>
          <w:szCs w:val="48"/>
        </w:rPr>
      </w:pPr>
      <w:bookmarkStart w:id="56" w:name="_GoBack"/>
      <w:bookmarkEnd w:id="56"/>
      <w:r>
        <w:rPr>
          <w:rFonts w:hint="default" w:ascii="Times New Roman" w:hAnsi="Times New Roman" w:cs="Times New Roman"/>
          <w:b/>
          <w:sz w:val="48"/>
          <w:szCs w:val="48"/>
          <w:lang w:val="en-US" w:eastAsia="zh-CN"/>
        </w:rPr>
        <w:t xml:space="preserve">  </w:t>
      </w:r>
      <w:r>
        <w:rPr>
          <w:rFonts w:hint="default" w:ascii="Times New Roman" w:hAnsi="Times New Roman" w:cs="Times New Roman"/>
          <w:b/>
          <w:sz w:val="48"/>
          <w:szCs w:val="48"/>
        </w:rPr>
        <w:t xml:space="preserve">                                                                                                                                                                                                                                                                                                                                                                                                                                                                                                                                                                                                                                                                                                                                                                                                                                                                                                                                                                                                                                                                                                                                                                                                                                                                                                                                                                                                                                                                                                                                                                                                                                                                                                                                                                                                                                                                                                                                                                                                                                                                                                                                                                                                                                                                                                                                                                                                                                                                                            </w:t>
      </w:r>
    </w:p>
    <w:p>
      <w:pPr>
        <w:snapToGrid w:val="0"/>
        <w:spacing w:line="360" w:lineRule="auto"/>
        <w:jc w:val="center"/>
        <w:rPr>
          <w:rFonts w:hint="default" w:ascii="Times New Roman" w:hAnsi="Times New Roman" w:cs="Times New Roman"/>
          <w:sz w:val="30"/>
          <w:szCs w:val="30"/>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4"/>
          <w:szCs w:val="44"/>
        </w:rPr>
      </w:pPr>
      <w:r>
        <w:rPr>
          <w:rFonts w:hint="default" w:ascii="Times New Roman" w:hAnsi="Times New Roman" w:cs="Times New Roman"/>
          <w:bCs/>
          <w:sz w:val="44"/>
          <w:szCs w:val="44"/>
        </w:rPr>
        <w:t>杭州名井精密机械有限公司新建项目</w:t>
      </w:r>
    </w:p>
    <w:p>
      <w:pPr>
        <w:snapToGrid w:val="0"/>
        <w:spacing w:line="360" w:lineRule="auto"/>
        <w:jc w:val="center"/>
        <w:rPr>
          <w:rFonts w:hint="default" w:ascii="Times New Roman" w:hAnsi="Times New Roman" w:cs="Times New Roman"/>
          <w:bCs/>
          <w:sz w:val="44"/>
          <w:szCs w:val="44"/>
        </w:rPr>
      </w:pPr>
      <w:r>
        <w:rPr>
          <w:rFonts w:hint="default" w:ascii="Times New Roman" w:hAnsi="Times New Roman" w:cs="Times New Roman"/>
          <w:bCs/>
          <w:sz w:val="44"/>
          <w:szCs w:val="44"/>
        </w:rPr>
        <w:t>竣工环境保护验收监测报告</w:t>
      </w:r>
    </w:p>
    <w:p>
      <w:pPr>
        <w:snapToGrid w:val="0"/>
        <w:spacing w:line="360" w:lineRule="auto"/>
        <w:jc w:val="both"/>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r>
        <w:rPr>
          <w:rFonts w:hint="default" w:ascii="Times New Roman" w:hAnsi="Times New Roman" w:cs="Times New Roman"/>
          <w:bCs/>
          <w:sz w:val="36"/>
          <w:szCs w:val="36"/>
        </w:rPr>
        <w:t>华标检（201</w:t>
      </w:r>
      <w:r>
        <w:rPr>
          <w:rFonts w:hint="default" w:ascii="Times New Roman" w:hAnsi="Times New Roman" w:cs="Times New Roman"/>
          <w:bCs/>
          <w:sz w:val="36"/>
          <w:szCs w:val="36"/>
          <w:lang w:val="en-US" w:eastAsia="zh-CN"/>
        </w:rPr>
        <w:t>8</w:t>
      </w:r>
      <w:r>
        <w:rPr>
          <w:rFonts w:hint="default" w:ascii="Times New Roman" w:hAnsi="Times New Roman" w:cs="Times New Roman"/>
          <w:bCs/>
          <w:color w:val="auto"/>
          <w:sz w:val="36"/>
          <w:szCs w:val="36"/>
        </w:rPr>
        <w:t>）J第</w:t>
      </w:r>
      <w:r>
        <w:rPr>
          <w:rFonts w:hint="eastAsia" w:cs="Times New Roman"/>
          <w:bCs/>
          <w:color w:val="auto"/>
          <w:sz w:val="36"/>
          <w:szCs w:val="36"/>
          <w:lang w:val="en-US" w:eastAsia="zh-CN"/>
        </w:rPr>
        <w:t>05052</w:t>
      </w:r>
      <w:r>
        <w:rPr>
          <w:rFonts w:hint="default" w:ascii="Times New Roman" w:hAnsi="Times New Roman" w:cs="Times New Roman"/>
          <w:bCs/>
          <w:color w:val="auto"/>
          <w:sz w:val="36"/>
          <w:szCs w:val="36"/>
        </w:rPr>
        <w:t>号</w:t>
      </w: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48"/>
          <w:szCs w:val="48"/>
        </w:rPr>
      </w:pPr>
    </w:p>
    <w:p>
      <w:pPr>
        <w:snapToGrid w:val="0"/>
        <w:spacing w:line="360" w:lineRule="auto"/>
        <w:jc w:val="center"/>
        <w:rPr>
          <w:rFonts w:hint="default" w:ascii="Times New Roman" w:hAnsi="Times New Roman" w:cs="Times New Roman"/>
          <w:bCs/>
          <w:sz w:val="36"/>
          <w:szCs w:val="36"/>
        </w:rPr>
      </w:pPr>
      <w:r>
        <w:rPr>
          <w:rFonts w:hint="default" w:ascii="Times New Roman" w:hAnsi="Times New Roman" w:cs="Times New Roman"/>
          <w:bCs/>
          <w:sz w:val="36"/>
          <w:szCs w:val="36"/>
        </w:rPr>
        <w:t>浙江华标检测技术有限公司</w:t>
      </w:r>
    </w:p>
    <w:p>
      <w:pPr>
        <w:snapToGrid w:val="0"/>
        <w:spacing w:line="360" w:lineRule="auto"/>
        <w:jc w:val="center"/>
        <w:rPr>
          <w:rFonts w:hint="default" w:ascii="Times New Roman" w:hAnsi="Times New Roman" w:cs="Times New Roman"/>
          <w:bCs/>
          <w:sz w:val="36"/>
          <w:szCs w:val="36"/>
        </w:rPr>
      </w:pPr>
      <w:r>
        <w:rPr>
          <w:rFonts w:hint="default" w:ascii="Times New Roman" w:hAnsi="Times New Roman" w:cs="Times New Roman"/>
          <w:bCs/>
          <w:sz w:val="36"/>
          <w:szCs w:val="36"/>
        </w:rPr>
        <w:t>二O一</w:t>
      </w:r>
      <w:r>
        <w:rPr>
          <w:rFonts w:hint="default" w:ascii="Times New Roman" w:hAnsi="Times New Roman" w:cs="Times New Roman"/>
          <w:bCs/>
          <w:sz w:val="36"/>
          <w:szCs w:val="36"/>
          <w:lang w:eastAsia="zh-CN"/>
        </w:rPr>
        <w:t>八</w:t>
      </w:r>
      <w:r>
        <w:rPr>
          <w:rFonts w:hint="default" w:ascii="Times New Roman" w:hAnsi="Times New Roman" w:cs="Times New Roman"/>
          <w:bCs/>
          <w:sz w:val="36"/>
          <w:szCs w:val="36"/>
        </w:rPr>
        <w:t>年</w:t>
      </w:r>
      <w:r>
        <w:rPr>
          <w:rFonts w:hint="eastAsia" w:cs="Times New Roman"/>
          <w:bCs/>
          <w:sz w:val="36"/>
          <w:szCs w:val="36"/>
          <w:lang w:eastAsia="zh-CN"/>
        </w:rPr>
        <w:t>五</w:t>
      </w:r>
      <w:r>
        <w:rPr>
          <w:rFonts w:hint="default" w:ascii="Times New Roman" w:hAnsi="Times New Roman" w:cs="Times New Roman"/>
          <w:bCs/>
          <w:sz w:val="36"/>
          <w:szCs w:val="36"/>
        </w:rPr>
        <w:t>月</w:t>
      </w:r>
    </w:p>
    <w:p>
      <w:pPr>
        <w:snapToGrid w:val="0"/>
        <w:spacing w:line="360" w:lineRule="auto"/>
        <w:jc w:val="left"/>
        <w:rPr>
          <w:rFonts w:hint="default" w:ascii="Times New Roman" w:hAnsi="Times New Roman" w:cs="Times New Roman"/>
          <w:bCs/>
          <w:sz w:val="48"/>
          <w:szCs w:val="48"/>
        </w:rPr>
      </w:pPr>
      <w:r>
        <w:rPr>
          <w:rFonts w:hint="default" w:ascii="Times New Roman" w:hAnsi="Times New Roman" w:cs="Times New Roman"/>
          <w:b/>
          <w:bCs/>
          <w:sz w:val="48"/>
          <w:szCs w:val="48"/>
        </w:rPr>
        <w:br w:type="page"/>
      </w:r>
    </w:p>
    <w:p>
      <w:pPr>
        <w:snapToGrid w:val="0"/>
        <w:spacing w:line="360" w:lineRule="auto"/>
        <w:jc w:val="center"/>
        <w:rPr>
          <w:rFonts w:hint="default" w:ascii="Times New Roman" w:hAnsi="Times New Roman" w:cs="Times New Roman"/>
          <w:bCs/>
          <w:sz w:val="48"/>
          <w:szCs w:val="48"/>
        </w:rPr>
      </w:pPr>
      <w:r>
        <w:rPr>
          <w:rFonts w:hint="default" w:ascii="Times New Roman" w:hAnsi="Times New Roman" w:cs="Times New Roman"/>
          <w:bCs/>
          <w:sz w:val="48"/>
          <w:szCs w:val="48"/>
        </w:rPr>
        <w:t>声明</w:t>
      </w:r>
    </w:p>
    <w:p>
      <w:pPr>
        <w:snapToGrid w:val="0"/>
        <w:spacing w:line="360" w:lineRule="auto"/>
        <w:jc w:val="center"/>
        <w:rPr>
          <w:rFonts w:hint="default" w:ascii="Times New Roman" w:hAnsi="Times New Roman" w:cs="Times New Roman"/>
          <w:bCs/>
          <w:sz w:val="28"/>
          <w:szCs w:val="28"/>
        </w:rPr>
      </w:pP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1、本报告一式叁份，正式报告与留存报告一致。部分复印或涂改均无效。</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2、本报告封面和指定位置无检验检测专用章无效，无检验检测用章的骑缝章无效。</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3、本报告未经同意不得用于广告宣传。</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4、留存监测报告保存期五年。</w:t>
      </w:r>
    </w:p>
    <w:p>
      <w:pPr>
        <w:snapToGrid w:val="0"/>
        <w:spacing w:line="360" w:lineRule="auto"/>
        <w:ind w:firstLine="720" w:firstLineChars="200"/>
        <w:rPr>
          <w:rFonts w:hint="default" w:ascii="Times New Roman" w:hAnsi="Times New Roman" w:cs="Times New Roman"/>
          <w:bCs/>
          <w:sz w:val="36"/>
          <w:szCs w:val="36"/>
        </w:rPr>
      </w:pPr>
    </w:p>
    <w:p>
      <w:pPr>
        <w:snapToGrid w:val="0"/>
        <w:spacing w:line="360" w:lineRule="auto"/>
        <w:ind w:firstLine="720" w:firstLineChars="200"/>
        <w:rPr>
          <w:rFonts w:hint="default" w:ascii="Times New Roman" w:hAnsi="Times New Roman" w:cs="Times New Roman"/>
          <w:bCs/>
          <w:sz w:val="36"/>
          <w:szCs w:val="36"/>
        </w:rPr>
      </w:pPr>
    </w:p>
    <w:p>
      <w:pPr>
        <w:snapToGrid w:val="0"/>
        <w:spacing w:line="360" w:lineRule="auto"/>
        <w:ind w:firstLine="720" w:firstLineChars="200"/>
        <w:rPr>
          <w:rFonts w:hint="default" w:ascii="Times New Roman" w:hAnsi="Times New Roman" w:cs="Times New Roman"/>
          <w:bCs/>
          <w:sz w:val="36"/>
          <w:szCs w:val="36"/>
        </w:rPr>
      </w:pP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地址：杭州市余杭区星桥街道星桥北路56号三楼</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邮编：311100</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电话：0571-86299951</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传真：0571-86299953</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邮箱：zhejianghuabiao@163.com</w:t>
      </w:r>
    </w:p>
    <w:p>
      <w:pPr>
        <w:snapToGrid w:val="0"/>
        <w:spacing w:line="360" w:lineRule="auto"/>
        <w:rPr>
          <w:rFonts w:hint="default" w:ascii="Times New Roman" w:hAnsi="Times New Roman" w:cs="Times New Roman"/>
          <w:bCs/>
          <w:sz w:val="36"/>
          <w:szCs w:val="36"/>
        </w:rPr>
      </w:pPr>
      <w:r>
        <w:rPr>
          <w:rFonts w:hint="default" w:ascii="Times New Roman" w:hAnsi="Times New Roman" w:cs="Times New Roman"/>
          <w:bCs/>
          <w:sz w:val="36"/>
          <w:szCs w:val="36"/>
        </w:rPr>
        <w:t>QQ：3349416427</w:t>
      </w:r>
    </w:p>
    <w:p>
      <w:pPr>
        <w:snapToGrid w:val="0"/>
        <w:spacing w:line="360" w:lineRule="auto"/>
        <w:rPr>
          <w:rFonts w:hint="default" w:ascii="Times New Roman" w:hAnsi="Times New Roman" w:cs="Times New Roman"/>
          <w:b/>
          <w:bCs/>
          <w:sz w:val="36"/>
          <w:szCs w:val="36"/>
        </w:rPr>
      </w:pPr>
      <w:r>
        <w:rPr>
          <w:rFonts w:hint="default" w:ascii="Times New Roman" w:hAnsi="Times New Roman" w:cs="Times New Roman"/>
          <w:b/>
          <w:bCs/>
          <w:sz w:val="36"/>
          <w:szCs w:val="36"/>
        </w:rPr>
        <w:br w:type="page"/>
      </w:r>
    </w:p>
    <w:p>
      <w:pPr>
        <w:snapToGrid w:val="0"/>
        <w:spacing w:line="360" w:lineRule="auto"/>
        <w:rPr>
          <w:rFonts w:hint="default" w:ascii="Times New Roman" w:hAnsi="Times New Roman" w:cs="Times New Roman"/>
          <w:b/>
          <w:bCs/>
          <w:sz w:val="36"/>
          <w:szCs w:val="36"/>
        </w:rPr>
      </w:pPr>
    </w:p>
    <w:p>
      <w:pPr>
        <w:snapToGrid w:val="0"/>
        <w:spacing w:line="360" w:lineRule="auto"/>
        <w:rPr>
          <w:rFonts w:hint="default" w:ascii="Times New Roman" w:hAnsi="Times New Roman" w:cs="Times New Roman"/>
          <w:b/>
          <w:bCs/>
          <w:sz w:val="36"/>
          <w:szCs w:val="36"/>
        </w:rPr>
      </w:pPr>
    </w:p>
    <w:p>
      <w:pPr>
        <w:snapToGrid w:val="0"/>
        <w:spacing w:line="360" w:lineRule="auto"/>
        <w:rPr>
          <w:rFonts w:hint="default" w:ascii="Times New Roman" w:hAnsi="Times New Roman" w:cs="Times New Roman"/>
          <w:b/>
          <w:bCs/>
          <w:sz w:val="36"/>
          <w:szCs w:val="36"/>
        </w:rPr>
      </w:pPr>
    </w:p>
    <w:p>
      <w:pPr>
        <w:snapToGrid w:val="0"/>
        <w:spacing w:line="360" w:lineRule="auto"/>
        <w:rPr>
          <w:rFonts w:hint="default" w:ascii="Times New Roman" w:hAnsi="Times New Roman" w:cs="Times New Roman"/>
          <w:b/>
          <w:bCs/>
          <w:sz w:val="36"/>
          <w:szCs w:val="36"/>
        </w:rPr>
      </w:pPr>
    </w:p>
    <w:tbl>
      <w:tblPr>
        <w:tblStyle w:val="25"/>
        <w:tblW w:w="8015" w:type="dxa"/>
        <w:jc w:val="center"/>
        <w:tblLayout w:type="fixed"/>
        <w:tblCellMar>
          <w:top w:w="0" w:type="dxa"/>
          <w:left w:w="108" w:type="dxa"/>
          <w:bottom w:w="0" w:type="dxa"/>
          <w:right w:w="108" w:type="dxa"/>
        </w:tblCellMar>
      </w:tblPr>
      <w:tblGrid>
        <w:gridCol w:w="2255"/>
        <w:gridCol w:w="5760"/>
      </w:tblGrid>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bCs/>
                <w:sz w:val="36"/>
                <w:szCs w:val="36"/>
              </w:rPr>
              <w:t>项目名称</w:t>
            </w:r>
          </w:p>
        </w:tc>
        <w:tc>
          <w:tcPr>
            <w:tcW w:w="5760" w:type="dxa"/>
            <w:vAlign w:val="center"/>
          </w:tcPr>
          <w:p>
            <w:pPr>
              <w:snapToGrid w:val="0"/>
              <w:spacing w:before="360" w:line="276" w:lineRule="auto"/>
              <w:jc w:val="center"/>
              <w:rPr>
                <w:rFonts w:hint="default" w:ascii="Times New Roman" w:hAnsi="Times New Roman" w:cs="Times New Roman"/>
                <w:sz w:val="36"/>
                <w:szCs w:val="36"/>
              </w:rPr>
            </w:pPr>
            <w:r>
              <w:rPr>
                <w:rFonts w:hint="default" w:ascii="Times New Roman" w:hAnsi="Times New Roman" w:cs="Times New Roman"/>
                <w:sz w:val="36"/>
                <w:szCs w:val="36"/>
              </w:rPr>
              <w:t>杭州名井精密机械有限公司</w:t>
            </w:r>
          </w:p>
          <w:p>
            <w:pPr>
              <w:snapToGrid w:val="0"/>
              <w:spacing w:before="360" w:line="276" w:lineRule="auto"/>
              <w:jc w:val="center"/>
              <w:rPr>
                <w:rFonts w:hint="default" w:ascii="Times New Roman" w:hAnsi="Times New Roman" w:cs="Times New Roman"/>
                <w:sz w:val="36"/>
                <w:szCs w:val="36"/>
              </w:rPr>
            </w:pPr>
            <w:r>
              <w:rPr>
                <w:rFonts w:hint="default" w:ascii="Times New Roman" w:hAnsi="Times New Roman" w:cs="Times New Roman"/>
                <w:sz w:val="36"/>
                <w:szCs w:val="36"/>
              </w:rPr>
              <w:t>新建项目</w:t>
            </w: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p>
        </w:tc>
        <w:tc>
          <w:tcPr>
            <w:tcW w:w="5760" w:type="dxa"/>
            <w:vAlign w:val="center"/>
          </w:tcPr>
          <w:p>
            <w:pPr>
              <w:snapToGrid w:val="0"/>
              <w:spacing w:before="360" w:line="276" w:lineRule="auto"/>
              <w:jc w:val="center"/>
              <w:rPr>
                <w:rFonts w:hint="default" w:ascii="Times New Roman" w:hAnsi="Times New Roman" w:cs="Times New Roman"/>
                <w:sz w:val="36"/>
                <w:szCs w:val="36"/>
              </w:rPr>
            </w:pP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sz w:val="36"/>
                <w:szCs w:val="36"/>
              </w:rPr>
              <w:t>承担单位</w:t>
            </w:r>
          </w:p>
        </w:tc>
        <w:tc>
          <w:tcPr>
            <w:tcW w:w="5760" w:type="dxa"/>
            <w:vAlign w:val="center"/>
          </w:tcPr>
          <w:p>
            <w:pPr>
              <w:snapToGrid w:val="0"/>
              <w:spacing w:before="360" w:line="276" w:lineRule="auto"/>
              <w:jc w:val="center"/>
              <w:rPr>
                <w:rFonts w:hint="default" w:ascii="Times New Roman" w:hAnsi="Times New Roman" w:cs="Times New Roman"/>
                <w:sz w:val="36"/>
                <w:szCs w:val="36"/>
              </w:rPr>
            </w:pPr>
            <w:r>
              <w:rPr>
                <w:rFonts w:hint="default" w:ascii="Times New Roman" w:hAnsi="Times New Roman" w:cs="Times New Roman"/>
                <w:sz w:val="36"/>
                <w:szCs w:val="36"/>
              </w:rPr>
              <w:t>浙江华标检测技术有限公司</w:t>
            </w: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sz w:val="36"/>
                <w:szCs w:val="36"/>
              </w:rPr>
              <w:t>单位负责人</w:t>
            </w:r>
          </w:p>
        </w:tc>
        <w:tc>
          <w:tcPr>
            <w:tcW w:w="5760" w:type="dxa"/>
          </w:tcPr>
          <w:p>
            <w:pPr>
              <w:snapToGrid w:val="0"/>
              <w:spacing w:before="360" w:line="276" w:lineRule="auto"/>
              <w:jc w:val="center"/>
              <w:rPr>
                <w:rFonts w:hint="default" w:ascii="Times New Roman" w:hAnsi="Times New Roman" w:cs="Times New Roman"/>
                <w:sz w:val="36"/>
                <w:szCs w:val="36"/>
              </w:rPr>
            </w:pPr>
            <w:r>
              <w:rPr>
                <w:rFonts w:hint="default" w:ascii="Times New Roman" w:hAnsi="Times New Roman" w:cs="Times New Roman"/>
                <w:sz w:val="36"/>
                <w:szCs w:val="36"/>
              </w:rPr>
              <w:t>赵敏辉</w:t>
            </w: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sz w:val="36"/>
                <w:szCs w:val="36"/>
              </w:rPr>
              <w:t>项目负责人</w:t>
            </w:r>
          </w:p>
        </w:tc>
        <w:tc>
          <w:tcPr>
            <w:tcW w:w="5760" w:type="dxa"/>
          </w:tcPr>
          <w:p>
            <w:pPr>
              <w:snapToGrid w:val="0"/>
              <w:spacing w:before="360" w:line="276" w:lineRule="auto"/>
              <w:jc w:val="center"/>
              <w:rPr>
                <w:rFonts w:hint="default" w:ascii="Times New Roman" w:hAnsi="Times New Roman" w:eastAsia="宋体" w:cs="Times New Roman"/>
                <w:sz w:val="36"/>
                <w:szCs w:val="36"/>
                <w:lang w:eastAsia="zh-CN"/>
              </w:rPr>
            </w:pPr>
            <w:r>
              <w:rPr>
                <w:rFonts w:hint="eastAsia" w:cs="Times New Roman"/>
                <w:sz w:val="36"/>
                <w:szCs w:val="36"/>
                <w:lang w:eastAsia="zh-CN"/>
              </w:rPr>
              <w:t>钟一虓</w:t>
            </w: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sz w:val="36"/>
                <w:szCs w:val="36"/>
              </w:rPr>
              <w:t>报告编写</w:t>
            </w:r>
          </w:p>
        </w:tc>
        <w:tc>
          <w:tcPr>
            <w:tcW w:w="5760" w:type="dxa"/>
          </w:tcPr>
          <w:p>
            <w:pPr>
              <w:snapToGrid w:val="0"/>
              <w:spacing w:before="360" w:line="276" w:lineRule="auto"/>
              <w:jc w:val="center"/>
              <w:rPr>
                <w:rFonts w:hint="default" w:ascii="Times New Roman" w:hAnsi="Times New Roman" w:eastAsia="宋体" w:cs="Times New Roman"/>
                <w:sz w:val="36"/>
                <w:szCs w:val="36"/>
                <w:lang w:eastAsia="zh-CN"/>
              </w:rPr>
            </w:pPr>
            <w:r>
              <w:rPr>
                <w:rFonts w:hint="default" w:ascii="Times New Roman" w:hAnsi="Times New Roman" w:cs="Times New Roman"/>
                <w:sz w:val="36"/>
                <w:szCs w:val="36"/>
                <w:lang w:eastAsia="zh-CN"/>
              </w:rPr>
              <w:t>郭燕婷</w:t>
            </w: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sz w:val="36"/>
                <w:szCs w:val="36"/>
              </w:rPr>
              <w:t>报告审核</w:t>
            </w:r>
          </w:p>
        </w:tc>
        <w:tc>
          <w:tcPr>
            <w:tcW w:w="5760" w:type="dxa"/>
            <w:vAlign w:val="center"/>
          </w:tcPr>
          <w:p>
            <w:pPr>
              <w:snapToGrid w:val="0"/>
              <w:spacing w:before="360" w:line="276" w:lineRule="auto"/>
              <w:ind w:firstLine="32" w:firstLineChars="9"/>
              <w:jc w:val="center"/>
              <w:rPr>
                <w:rFonts w:hint="default" w:ascii="Times New Roman" w:hAnsi="Times New Roman" w:cs="Times New Roman"/>
                <w:sz w:val="36"/>
                <w:szCs w:val="36"/>
              </w:rPr>
            </w:pPr>
          </w:p>
        </w:tc>
      </w:tr>
      <w:tr>
        <w:tblPrEx>
          <w:tblCellMar>
            <w:top w:w="0" w:type="dxa"/>
            <w:left w:w="108" w:type="dxa"/>
            <w:bottom w:w="0" w:type="dxa"/>
            <w:right w:w="108" w:type="dxa"/>
          </w:tblCellMar>
        </w:tblPrEx>
        <w:trPr>
          <w:jc w:val="center"/>
        </w:trPr>
        <w:tc>
          <w:tcPr>
            <w:tcW w:w="2255" w:type="dxa"/>
            <w:vAlign w:val="center"/>
          </w:tcPr>
          <w:p>
            <w:pPr>
              <w:snapToGrid w:val="0"/>
              <w:spacing w:before="360" w:line="276" w:lineRule="auto"/>
              <w:rPr>
                <w:rFonts w:hint="default" w:ascii="Times New Roman" w:hAnsi="Times New Roman" w:cs="Times New Roman"/>
                <w:sz w:val="36"/>
                <w:szCs w:val="36"/>
              </w:rPr>
            </w:pPr>
            <w:r>
              <w:rPr>
                <w:rFonts w:hint="default" w:ascii="Times New Roman" w:hAnsi="Times New Roman" w:cs="Times New Roman"/>
                <w:sz w:val="36"/>
                <w:szCs w:val="36"/>
              </w:rPr>
              <w:t>报告审定</w:t>
            </w:r>
          </w:p>
        </w:tc>
        <w:tc>
          <w:tcPr>
            <w:tcW w:w="5760" w:type="dxa"/>
            <w:vAlign w:val="center"/>
          </w:tcPr>
          <w:p>
            <w:pPr>
              <w:snapToGrid w:val="0"/>
              <w:spacing w:before="360" w:line="276" w:lineRule="auto"/>
              <w:ind w:firstLine="32" w:firstLineChars="9"/>
              <w:jc w:val="center"/>
              <w:rPr>
                <w:rFonts w:hint="default" w:ascii="Times New Roman" w:hAnsi="Times New Roman" w:cs="Times New Roman"/>
                <w:sz w:val="36"/>
                <w:szCs w:val="36"/>
              </w:rPr>
            </w:pPr>
          </w:p>
        </w:tc>
      </w:tr>
    </w:tbl>
    <w:p>
      <w:pPr>
        <w:snapToGrid w:val="0"/>
        <w:spacing w:line="360" w:lineRule="auto"/>
        <w:ind w:left="885" w:hanging="885" w:hangingChars="245"/>
        <w:jc w:val="center"/>
        <w:rPr>
          <w:rStyle w:val="30"/>
          <w:rFonts w:hint="default" w:ascii="Times New Roman" w:hAnsi="Times New Roman" w:cs="Times New Roman"/>
          <w:b/>
          <w:bCs/>
          <w:color w:val="auto"/>
          <w:sz w:val="36"/>
          <w:szCs w:val="36"/>
        </w:rPr>
        <w:sectPr>
          <w:pgSz w:w="11906" w:h="16838"/>
          <w:pgMar w:top="1440" w:right="1440" w:bottom="1440" w:left="1797" w:header="851" w:footer="992" w:gutter="0"/>
          <w:pgBorders>
            <w:top w:val="none" w:sz="0" w:space="0"/>
            <w:left w:val="none" w:sz="0" w:space="0"/>
            <w:bottom w:val="none" w:sz="0" w:space="0"/>
            <w:right w:val="none" w:sz="0" w:space="0"/>
          </w:pgBorders>
          <w:cols w:space="720" w:num="1"/>
          <w:docGrid w:type="lines" w:linePitch="312" w:charSpace="0"/>
        </w:sectPr>
      </w:pPr>
      <w:bookmarkStart w:id="0" w:name="OLE_LINK4"/>
    </w:p>
    <w:p>
      <w:pPr>
        <w:snapToGrid w:val="0"/>
        <w:spacing w:line="360" w:lineRule="auto"/>
        <w:ind w:left="588" w:hanging="885" w:hangingChars="245"/>
        <w:jc w:val="center"/>
        <w:rPr>
          <w:rFonts w:hint="default" w:ascii="Times New Roman" w:hAnsi="Times New Roman" w:eastAsia="宋体" w:cs="Times New Roman"/>
          <w:color w:val="0000FF"/>
          <w:kern w:val="2"/>
          <w:sz w:val="24"/>
          <w:szCs w:val="24"/>
          <w:u w:val="none"/>
          <w:lang w:val="en-US" w:eastAsia="zh-CN" w:bidi="ar-SA"/>
        </w:rPr>
      </w:pPr>
      <w:r>
        <w:rPr>
          <w:rStyle w:val="30"/>
          <w:rFonts w:hint="default" w:ascii="Times New Roman" w:hAnsi="Times New Roman" w:cs="Times New Roman"/>
          <w:b/>
          <w:bCs/>
          <w:color w:val="auto"/>
          <w:sz w:val="36"/>
          <w:szCs w:val="36"/>
        </w:rPr>
        <w:t>目录</w:t>
      </w:r>
      <w:r>
        <w:rPr>
          <w:rStyle w:val="30"/>
          <w:rFonts w:hint="default" w:ascii="Times New Roman" w:hAnsi="Times New Roman" w:cs="Times New Roman"/>
          <w:sz w:val="24"/>
          <w:szCs w:val="24"/>
        </w:rPr>
        <w:fldChar w:fldCharType="begin"/>
      </w:r>
      <w:r>
        <w:rPr>
          <w:rStyle w:val="30"/>
          <w:rFonts w:hint="default" w:ascii="Times New Roman" w:hAnsi="Times New Roman" w:cs="Times New Roman"/>
          <w:sz w:val="24"/>
          <w:szCs w:val="24"/>
        </w:rPr>
        <w:instrText xml:space="preserve"> TOC \o "1-2" \h \z \u </w:instrText>
      </w:r>
      <w:r>
        <w:rPr>
          <w:rStyle w:val="30"/>
          <w:rFonts w:hint="default" w:ascii="Times New Roman" w:hAnsi="Times New Roman" w:cs="Times New Roman"/>
          <w:sz w:val="24"/>
          <w:szCs w:val="24"/>
        </w:rPr>
        <w:fldChar w:fldCharType="separate"/>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_Toc13324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第1章  前言</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_Toc13324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_Toc9206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第2章  验收监测依据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_Toc9206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_Toc9769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第3章  建设项目工程概况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_Toc9769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_Toc1705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3.1企业概况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_Toc22800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3.2生产工艺情况介绍</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_Toc22800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_Toc19095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3.3污染源及污染物分析和污染治理措施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_Toc19095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_Toc11899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第4章  环评中环评结论及批复意见</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_Toc11899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_Toc16723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环评</w:t>
      </w:r>
      <w:r>
        <w:rPr>
          <w:rFonts w:hint="default" w:ascii="Times New Roman" w:hAnsi="Times New Roman" w:cs="Times New Roman"/>
          <w:sz w:val="24"/>
          <w:szCs w:val="24"/>
          <w:lang w:eastAsia="zh-CN"/>
        </w:rPr>
        <w:t>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_Toc16723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_Toc21872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环评结论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_Toc23198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环评批复意见</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_Toc23198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_Toc17176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第5章  评价标准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_Toc17176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_Toc1723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5.1废水</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_Toc24878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5.2废气</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_Toc24878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_Toc12911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第6章  监测内容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_Toc12911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_Toc27342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6.1验收监测期间工况说明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_Toc27342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_Toc4992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6.2验收监测内容和频次</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_Toc4992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_Toc24937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6.3验收监测结果和评价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_Toc24937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_Toc10083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第7章  监测分析方法和质量保证</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_Toc10083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_Toc28484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第8章  环境管理检查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_Toc28484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_Toc3939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8.1项目环境管理执行基本情况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_Toc3939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_Toc14387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8.2环评批复落实情况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_Toc14387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_Toc4335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第9章  验收监测结论和建议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_Toc4335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9.1结论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_Toc9583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9.2总结论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_Toc9583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669"/>
        </w:tabs>
        <w:spacing w:line="360" w:lineRule="auto"/>
        <w:rPr>
          <w:rFonts w:hint="default" w:ascii="Times New Roman" w:hAnsi="Times New Roman" w:cs="Times New Roma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_Toc27960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9.3建议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_Toc27960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snapToGrid w:val="0"/>
        <w:spacing w:line="360" w:lineRule="auto"/>
        <w:ind w:left="885" w:hanging="588" w:hangingChars="245"/>
        <w:jc w:val="left"/>
        <w:rPr>
          <w:rFonts w:hint="default" w:ascii="Times New Roman" w:hAnsi="Times New Roman" w:cs="Times New Roman"/>
          <w:sz w:val="24"/>
          <w:szCs w:val="24"/>
        </w:rPr>
        <w:sectPr>
          <w:footerReference r:id="rId3" w:type="default"/>
          <w:pgSz w:w="11906" w:h="16838"/>
          <w:pgMar w:top="1440" w:right="1440"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Style w:val="30"/>
          <w:rFonts w:hint="default" w:ascii="Times New Roman" w:hAnsi="Times New Roman" w:cs="Times New Roman"/>
          <w:sz w:val="24"/>
          <w:szCs w:val="24"/>
        </w:rPr>
        <w:fldChar w:fldCharType="end"/>
      </w:r>
      <w:r>
        <w:rPr>
          <w:rFonts w:hint="default" w:ascii="Times New Roman" w:hAnsi="Times New Roman" w:cs="Times New Roman"/>
          <w:sz w:val="24"/>
          <w:szCs w:val="24"/>
        </w:rPr>
        <w:t>附件  环评批复、企业日产量报表、</w:t>
      </w:r>
      <w:r>
        <w:rPr>
          <w:rFonts w:hint="eastAsia" w:cs="Times New Roman"/>
          <w:sz w:val="24"/>
          <w:szCs w:val="24"/>
          <w:lang w:eastAsia="zh-CN"/>
        </w:rPr>
        <w:t>用水证明、危废协议、</w:t>
      </w:r>
      <w:r>
        <w:rPr>
          <w:rFonts w:hint="default" w:ascii="Times New Roman" w:hAnsi="Times New Roman" w:cs="Times New Roman"/>
          <w:sz w:val="24"/>
          <w:szCs w:val="24"/>
          <w:lang w:eastAsia="zh-CN"/>
        </w:rPr>
        <w:t>现场照片、</w:t>
      </w:r>
      <w:r>
        <w:rPr>
          <w:rFonts w:hint="default" w:ascii="Times New Roman" w:hAnsi="Times New Roman" w:cs="Times New Roman"/>
          <w:sz w:val="24"/>
          <w:szCs w:val="24"/>
        </w:rPr>
        <w:t>检</w:t>
      </w:r>
      <w:bookmarkEnd w:id="0"/>
      <w:bookmarkStart w:id="1" w:name="_Toc25935"/>
      <w:bookmarkStart w:id="2" w:name="_Toc23352"/>
      <w:r>
        <w:rPr>
          <w:rFonts w:hint="default" w:ascii="Times New Roman" w:hAnsi="Times New Roman" w:cs="Times New Roman"/>
          <w:sz w:val="24"/>
          <w:szCs w:val="24"/>
        </w:rPr>
        <w:t xml:space="preserve">验检测报告 </w:t>
      </w:r>
    </w:p>
    <w:p>
      <w:pPr>
        <w:pStyle w:val="2"/>
        <w:spacing w:line="360" w:lineRule="auto"/>
        <w:rPr>
          <w:rFonts w:hint="default" w:ascii="Times New Roman" w:hAnsi="Times New Roman" w:cs="Times New Roman"/>
        </w:rPr>
      </w:pPr>
      <w:bookmarkStart w:id="3" w:name="_Toc13324"/>
      <w:r>
        <w:rPr>
          <w:rFonts w:hint="default" w:ascii="Times New Roman" w:hAnsi="Times New Roman" w:cs="Times New Roman"/>
        </w:rPr>
        <w:t>第1章  前言</w:t>
      </w:r>
      <w:bookmarkEnd w:id="1"/>
      <w:bookmarkEnd w:id="3"/>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杭州名井精密机械有限公司建于萧山区河上镇紫霞村，租用蔡兴贤所属的300 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lang w:val="en-US" w:eastAsia="zh-CN"/>
        </w:rPr>
        <w:t>工业用房作为生产用房。主要从事机械设备、五金机械配件、平面磨床的生产、加工和销售。项目总投资20万元，达产后将形成年产平面磨床50台、机械设备30台、五金机械配件10吨的生产规模。</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杭州名井精密机械有限公司</w:t>
      </w:r>
      <w:r>
        <w:rPr>
          <w:rFonts w:hint="default" w:ascii="Times New Roman" w:hAnsi="Times New Roman" w:cs="Times New Roman"/>
          <w:sz w:val="24"/>
          <w:szCs w:val="24"/>
        </w:rPr>
        <w:t>委托杭州天川环保科技有限公司编写了《杭州名井精密机械有限公司新建项目</w:t>
      </w:r>
      <w:r>
        <w:rPr>
          <w:rFonts w:hint="default" w:ascii="Times New Roman" w:hAnsi="Times New Roman" w:cs="Times New Roman"/>
          <w:color w:val="000000" w:themeColor="text1"/>
          <w:sz w:val="24"/>
          <w:szCs w:val="24"/>
          <w14:textFill>
            <w14:solidFill>
              <w14:schemeClr w14:val="tx1"/>
            </w14:solidFill>
          </w14:textFill>
        </w:rPr>
        <w:t>环境影响报告表</w:t>
      </w:r>
      <w:r>
        <w:rPr>
          <w:rFonts w:hint="default" w:ascii="Times New Roman" w:hAnsi="Times New Roman" w:cs="Times New Roman"/>
          <w:sz w:val="24"/>
          <w:szCs w:val="24"/>
        </w:rPr>
        <w:t>》，并于20</w:t>
      </w:r>
      <w:r>
        <w:rPr>
          <w:rFonts w:hint="eastAsia" w:ascii="Times New Roman" w:hAnsi="Times New Roman" w:cs="Times New Roman"/>
          <w:sz w:val="24"/>
          <w:szCs w:val="24"/>
          <w:lang w:val="en-US" w:eastAsia="zh-CN"/>
        </w:rPr>
        <w:t>1</w:t>
      </w:r>
      <w:r>
        <w:rPr>
          <w:rFonts w:hint="eastAsia" w:cs="Times New Roman"/>
          <w:sz w:val="24"/>
          <w:szCs w:val="24"/>
          <w:lang w:val="en-US" w:eastAsia="zh-CN"/>
        </w:rPr>
        <w:t>6</w:t>
      </w:r>
      <w:r>
        <w:rPr>
          <w:rFonts w:hint="default" w:ascii="Times New Roman" w:hAnsi="Times New Roman" w:cs="Times New Roman"/>
          <w:sz w:val="24"/>
          <w:szCs w:val="24"/>
        </w:rPr>
        <w:t>年</w:t>
      </w:r>
      <w:r>
        <w:rPr>
          <w:rFonts w:hint="eastAsia" w:cs="Times New Roman"/>
          <w:sz w:val="24"/>
          <w:szCs w:val="24"/>
          <w:lang w:val="en-US" w:eastAsia="zh-CN"/>
        </w:rPr>
        <w:t>5</w:t>
      </w:r>
      <w:r>
        <w:rPr>
          <w:rFonts w:hint="default" w:ascii="Times New Roman" w:hAnsi="Times New Roman" w:cs="Times New Roman"/>
          <w:sz w:val="24"/>
          <w:szCs w:val="24"/>
        </w:rPr>
        <w:t>月</w:t>
      </w:r>
      <w:r>
        <w:rPr>
          <w:rFonts w:hint="eastAsia" w:cs="Times New Roman"/>
          <w:sz w:val="24"/>
          <w:szCs w:val="24"/>
          <w:lang w:val="en-US" w:eastAsia="zh-CN"/>
        </w:rPr>
        <w:t>19</w:t>
      </w:r>
      <w:r>
        <w:rPr>
          <w:rFonts w:hint="default" w:ascii="Times New Roman" w:hAnsi="Times New Roman" w:cs="Times New Roman"/>
          <w:sz w:val="24"/>
          <w:szCs w:val="24"/>
          <w:lang w:eastAsia="zh-CN"/>
        </w:rPr>
        <w:t>日</w:t>
      </w:r>
      <w:r>
        <w:rPr>
          <w:rFonts w:hint="default" w:ascii="Times New Roman" w:hAnsi="Times New Roman" w:cs="Times New Roman"/>
          <w:sz w:val="24"/>
          <w:szCs w:val="24"/>
        </w:rPr>
        <w:t>通过杭州市萧山区环境保护局的审批，批文号为：</w:t>
      </w:r>
      <w:r>
        <w:rPr>
          <w:rFonts w:hint="default" w:ascii="Times New Roman" w:hAnsi="Times New Roman" w:cs="Times New Roman"/>
          <w:sz w:val="24"/>
          <w:szCs w:val="24"/>
          <w:lang w:eastAsia="zh-CN"/>
        </w:rPr>
        <w:t>萧环建[2016]</w:t>
      </w:r>
      <w:r>
        <w:rPr>
          <w:rFonts w:hint="eastAsia" w:cs="Times New Roman"/>
          <w:sz w:val="24"/>
          <w:szCs w:val="24"/>
          <w:lang w:val="en-US" w:eastAsia="zh-CN"/>
        </w:rPr>
        <w:t>466</w:t>
      </w:r>
      <w:r>
        <w:rPr>
          <w:rFonts w:hint="default" w:ascii="Times New Roman" w:hAnsi="Times New Roman" w:cs="Times New Roman"/>
          <w:sz w:val="24"/>
          <w:szCs w:val="24"/>
        </w:rPr>
        <w:t>号。</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根据《建设项目竣工环境保护验收管理办法》等国家及浙江省有关规定，受杭州名井精密机械有限公司委托，浙江华标检测技术有限公司承担了本项目竣工环境保护验收监测</w:t>
      </w:r>
      <w:r>
        <w:rPr>
          <w:rFonts w:hint="default" w:ascii="Times New Roman" w:hAnsi="Times New Roman" w:cs="Times New Roman"/>
          <w:color w:val="auto"/>
          <w:sz w:val="24"/>
          <w:szCs w:val="24"/>
        </w:rPr>
        <w:t>工作。201</w:t>
      </w:r>
      <w:r>
        <w:rPr>
          <w:rFonts w:hint="default" w:ascii="Times New Roman" w:hAnsi="Times New Roman" w:cs="Times New Roman"/>
          <w:color w:val="auto"/>
          <w:sz w:val="24"/>
          <w:szCs w:val="24"/>
          <w:lang w:val="en-US" w:eastAsia="zh-CN"/>
        </w:rPr>
        <w:t>8年</w:t>
      </w:r>
      <w:r>
        <w:rPr>
          <w:rFonts w:hint="eastAsia" w:cs="Times New Roman"/>
          <w:color w:val="auto"/>
          <w:sz w:val="24"/>
          <w:szCs w:val="24"/>
          <w:lang w:val="en-US" w:eastAsia="zh-CN"/>
        </w:rPr>
        <w:t>5月</w:t>
      </w:r>
      <w:r>
        <w:rPr>
          <w:rFonts w:hint="default" w:ascii="Times New Roman" w:hAnsi="Times New Roman" w:cs="Times New Roman"/>
          <w:color w:val="auto"/>
          <w:sz w:val="24"/>
          <w:szCs w:val="24"/>
        </w:rPr>
        <w:t>，我</w:t>
      </w:r>
      <w:r>
        <w:rPr>
          <w:rFonts w:hint="default" w:ascii="Times New Roman" w:hAnsi="Times New Roman" w:cs="Times New Roman"/>
          <w:sz w:val="24"/>
          <w:szCs w:val="24"/>
        </w:rPr>
        <w:t>公司在收集有关资料和现场踏勘、调查的基础上，编写了本项目的竣工环境保护验收监测方案。根据监测方案，我公司组织了该项目的现场监测及调查工作并编写了本报告。</w:t>
      </w:r>
    </w:p>
    <w:p>
      <w:pPr>
        <w:spacing w:line="360" w:lineRule="auto"/>
        <w:rPr>
          <w:rFonts w:hint="default" w:ascii="Times New Roman" w:hAnsi="Times New Roman" w:cs="Times New Roman"/>
          <w:sz w:val="24"/>
          <w:szCs w:val="24"/>
        </w:rPr>
      </w:pPr>
    </w:p>
    <w:p>
      <w:pPr>
        <w:pStyle w:val="2"/>
        <w:spacing w:line="360" w:lineRule="auto"/>
        <w:rPr>
          <w:rFonts w:hint="default" w:ascii="Times New Roman" w:hAnsi="Times New Roman" w:cs="Times New Roman"/>
        </w:rPr>
      </w:pPr>
      <w:r>
        <w:rPr>
          <w:rFonts w:hint="default" w:ascii="Times New Roman" w:hAnsi="Times New Roman" w:cs="Times New Roman"/>
        </w:rPr>
        <w:t xml:space="preserve">  </w:t>
      </w:r>
      <w:bookmarkStart w:id="4" w:name="_Toc9206"/>
      <w:bookmarkStart w:id="5" w:name="_Toc10382"/>
      <w:r>
        <w:rPr>
          <w:rFonts w:hint="default" w:ascii="Times New Roman" w:hAnsi="Times New Roman" w:cs="Times New Roman"/>
        </w:rPr>
        <w:t>第2章  验收监测依据</w:t>
      </w:r>
      <w:bookmarkEnd w:id="4"/>
      <w:bookmarkEnd w:id="5"/>
    </w:p>
    <w:p>
      <w:pPr>
        <w:rPr>
          <w:rFonts w:hint="default" w:ascii="Times New Roman" w:hAnsi="Times New Roman" w:cs="Times New Roman"/>
        </w:rPr>
      </w:pP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（1）中华人民共和国国务院令第682号《建设项目环境保护管理条例》；</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（2）原环境保护部国环规环评[2017]4号《关于发布《建设项目竣工环境保护验收暂行办法》的公告》；</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（3）生态环境部公告 公告2018年第9号关于发布《建设项目竣工环境保护验收技术指南污染影响类》的公告；</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（4）浙江省环境保护厅浙环发[2009]76号《关于进一步加强建设项目固体废弃物环境管理的通知》；</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lang w:eastAsia="zh-CN"/>
        </w:rPr>
        <w:t>）杭州天川环保科技有限公司</w:t>
      </w:r>
      <w:r>
        <w:rPr>
          <w:rFonts w:hint="eastAsia" w:cs="Times New Roman"/>
          <w:sz w:val="24"/>
          <w:szCs w:val="24"/>
          <w:lang w:eastAsia="zh-CN"/>
        </w:rPr>
        <w:t>编制</w:t>
      </w:r>
      <w:r>
        <w:rPr>
          <w:rFonts w:hint="default" w:ascii="Times New Roman" w:hAnsi="Times New Roman" w:cs="Times New Roman"/>
          <w:sz w:val="24"/>
          <w:szCs w:val="24"/>
          <w:lang w:eastAsia="zh-CN"/>
        </w:rPr>
        <w:t>《杭州名井精密机械有限公司新建项目环境影响报告表》</w:t>
      </w:r>
      <w:r>
        <w:rPr>
          <w:rFonts w:hint="default" w:ascii="Times New Roman" w:hAnsi="Times New Roman" w:cs="Times New Roman"/>
          <w:sz w:val="24"/>
          <w:szCs w:val="24"/>
        </w:rPr>
        <w:t>，杭州市萧山区环境保护局的批复（</w:t>
      </w:r>
      <w:r>
        <w:rPr>
          <w:rFonts w:hint="default" w:ascii="Times New Roman" w:hAnsi="Times New Roman" w:cs="Times New Roman"/>
          <w:sz w:val="24"/>
          <w:szCs w:val="24"/>
          <w:lang w:eastAsia="zh-CN"/>
        </w:rPr>
        <w:t>萧环建[2016]</w:t>
      </w:r>
      <w:r>
        <w:rPr>
          <w:rFonts w:hint="eastAsia" w:cs="Times New Roman"/>
          <w:sz w:val="24"/>
          <w:szCs w:val="24"/>
          <w:lang w:val="en-US" w:eastAsia="zh-CN"/>
        </w:rPr>
        <w:t>466</w:t>
      </w:r>
      <w:r>
        <w:rPr>
          <w:rFonts w:hint="default" w:ascii="Times New Roman" w:hAnsi="Times New Roman" w:cs="Times New Roman"/>
          <w:sz w:val="24"/>
          <w:szCs w:val="24"/>
        </w:rPr>
        <w:t>号）；</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w:t>
      </w:r>
      <w:r>
        <w:rPr>
          <w:rFonts w:hint="default" w:ascii="Times New Roman" w:hAnsi="Times New Roman" w:cs="Times New Roman"/>
          <w:sz w:val="24"/>
          <w:szCs w:val="24"/>
          <w:lang w:eastAsia="zh-CN"/>
        </w:rPr>
        <w:t>杭州名井精密机械有限公司</w:t>
      </w:r>
      <w:r>
        <w:rPr>
          <w:rFonts w:hint="default" w:ascii="Times New Roman" w:hAnsi="Times New Roman" w:cs="Times New Roman"/>
          <w:sz w:val="24"/>
          <w:szCs w:val="24"/>
        </w:rPr>
        <w:t>环境保护设施竣工验收监测委托协议单。</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7</w:t>
      </w:r>
      <w:r>
        <w:rPr>
          <w:rFonts w:hint="default" w:ascii="Times New Roman" w:hAnsi="Times New Roman" w:cs="Times New Roman"/>
          <w:sz w:val="24"/>
          <w:szCs w:val="24"/>
        </w:rPr>
        <w:t>）浙江华标检测技术有限公司《检测报告》（201</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050</w:t>
      </w:r>
      <w:r>
        <w:rPr>
          <w:rFonts w:hint="eastAsia" w:cs="Times New Roman"/>
          <w:sz w:val="24"/>
          <w:szCs w:val="24"/>
          <w:lang w:val="en-US" w:eastAsia="zh-CN"/>
        </w:rPr>
        <w:t>69</w:t>
      </w:r>
      <w:r>
        <w:rPr>
          <w:rFonts w:hint="default" w:ascii="Times New Roman" w:hAnsi="Times New Roman" w:cs="Times New Roman"/>
          <w:sz w:val="24"/>
          <w:szCs w:val="24"/>
        </w:rPr>
        <w:t>）。</w:t>
      </w:r>
    </w:p>
    <w:p>
      <w:pPr>
        <w:adjustRightInd w:val="0"/>
        <w:snapToGrid w:val="0"/>
        <w:spacing w:line="360" w:lineRule="auto"/>
        <w:ind w:firstLine="480" w:firstLineChars="200"/>
        <w:rPr>
          <w:rFonts w:hint="default" w:ascii="Times New Roman" w:hAnsi="Times New Roman" w:cs="Times New Roman"/>
          <w:sz w:val="24"/>
          <w:szCs w:val="24"/>
        </w:rPr>
      </w:pPr>
    </w:p>
    <w:p>
      <w:pPr>
        <w:pStyle w:val="2"/>
        <w:tabs>
          <w:tab w:val="left" w:pos="754"/>
          <w:tab w:val="center" w:pos="4397"/>
        </w:tabs>
        <w:spacing w:line="360" w:lineRule="auto"/>
        <w:jc w:val="left"/>
        <w:rPr>
          <w:rFonts w:hint="default" w:ascii="Times New Roman" w:hAnsi="Times New Roman" w:cs="Times New Roman"/>
        </w:rPr>
      </w:pPr>
      <w:bookmarkStart w:id="6" w:name="_Toc29705"/>
      <w:bookmarkStart w:id="7" w:name="OLE_LINK30"/>
      <w:r>
        <w:rPr>
          <w:rFonts w:hint="default" w:ascii="Times New Roman" w:hAnsi="Times New Roman" w:cs="Times New Roman"/>
        </w:rPr>
        <w:tab/>
      </w:r>
      <w:r>
        <w:rPr>
          <w:rFonts w:hint="default" w:ascii="Times New Roman" w:hAnsi="Times New Roman" w:cs="Times New Roman"/>
        </w:rPr>
        <w:tab/>
      </w:r>
      <w:bookmarkStart w:id="8" w:name="_Toc9769"/>
      <w:r>
        <w:rPr>
          <w:rFonts w:hint="default" w:ascii="Times New Roman" w:hAnsi="Times New Roman" w:cs="Times New Roman"/>
        </w:rPr>
        <w:t>第3章  建设项目工程概况</w:t>
      </w:r>
      <w:bookmarkEnd w:id="6"/>
      <w:bookmarkEnd w:id="8"/>
    </w:p>
    <w:bookmarkEnd w:id="7"/>
    <w:p>
      <w:pPr>
        <w:pStyle w:val="3"/>
        <w:spacing w:line="360" w:lineRule="auto"/>
        <w:rPr>
          <w:rFonts w:hint="default" w:ascii="Times New Roman" w:hAnsi="Times New Roman" w:cs="Times New Roman"/>
        </w:rPr>
      </w:pPr>
      <w:bookmarkStart w:id="9" w:name="_Toc1705"/>
      <w:bookmarkStart w:id="10" w:name="_Toc23461"/>
      <w:r>
        <w:rPr>
          <w:rFonts w:hint="default" w:ascii="Times New Roman" w:hAnsi="Times New Roman" w:cs="Times New Roman"/>
        </w:rPr>
        <w:t>3.1企业概况</w:t>
      </w:r>
      <w:bookmarkEnd w:id="9"/>
      <w:bookmarkEnd w:id="10"/>
    </w:p>
    <w:p>
      <w:pPr>
        <w:spacing w:line="360" w:lineRule="auto"/>
        <w:ind w:left="1679" w:leftChars="228" w:hanging="1200" w:hangingChars="500"/>
        <w:rPr>
          <w:rFonts w:hint="default" w:ascii="Times New Roman" w:hAnsi="Times New Roman" w:cs="Times New Roman"/>
          <w:sz w:val="24"/>
          <w:szCs w:val="24"/>
        </w:rPr>
      </w:pPr>
      <w:bookmarkStart w:id="11" w:name="_Toc18559"/>
      <w:r>
        <w:rPr>
          <w:rFonts w:hint="default" w:ascii="Times New Roman" w:hAnsi="Times New Roman" w:cs="Times New Roman"/>
          <w:sz w:val="24"/>
          <w:szCs w:val="24"/>
        </w:rPr>
        <w:t>项目名称：</w:t>
      </w:r>
      <w:r>
        <w:rPr>
          <w:rFonts w:hint="default" w:ascii="Times New Roman" w:hAnsi="Times New Roman" w:cs="Times New Roman"/>
          <w:sz w:val="24"/>
          <w:szCs w:val="24"/>
          <w:lang w:eastAsia="zh-CN"/>
        </w:rPr>
        <w:t>杭州名井精密机械有限公司新建项目</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项目性质：新建项目。</w:t>
      </w:r>
    </w:p>
    <w:p>
      <w:pPr>
        <w:spacing w:line="360" w:lineRule="auto"/>
        <w:ind w:left="1679" w:leftChars="228" w:hanging="1200" w:hangingChars="500"/>
        <w:rPr>
          <w:rFonts w:hint="default" w:ascii="Times New Roman" w:hAnsi="Times New Roman" w:cs="Times New Roman"/>
          <w:color w:val="auto"/>
          <w:sz w:val="24"/>
          <w:szCs w:val="24"/>
        </w:rPr>
      </w:pPr>
      <w:r>
        <w:rPr>
          <w:rFonts w:hint="default" w:ascii="Times New Roman" w:hAnsi="Times New Roman" w:cs="Times New Roman"/>
          <w:sz w:val="24"/>
          <w:szCs w:val="24"/>
        </w:rPr>
        <w:t>建设规模</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年产平面磨床50台、机械设备30台、五金机械配件10吨</w:t>
      </w:r>
      <w:r>
        <w:rPr>
          <w:rFonts w:hint="default" w:ascii="Times New Roman" w:hAnsi="Times New Roman" w:cs="Times New Roman"/>
          <w:color w:val="auto"/>
          <w:sz w:val="24"/>
          <w:szCs w:val="24"/>
        </w:rPr>
        <w:t>。</w:t>
      </w:r>
    </w:p>
    <w:p>
      <w:pPr>
        <w:spacing w:line="360" w:lineRule="auto"/>
        <w:ind w:left="1679" w:leftChars="228" w:hanging="1200" w:hangingChars="5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实际产量：</w:t>
      </w:r>
      <w:r>
        <w:rPr>
          <w:rFonts w:hint="default" w:ascii="Times New Roman" w:hAnsi="Times New Roman" w:cs="Times New Roman"/>
          <w:color w:val="auto"/>
          <w:sz w:val="24"/>
          <w:szCs w:val="24"/>
          <w:lang w:val="en-US" w:eastAsia="zh-CN"/>
        </w:rPr>
        <w:t>年产平面磨床50台、机械设备30台、五金机械配件10吨</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建设地点：萧山区河上镇紫霞村。</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项目投资：</w:t>
      </w:r>
      <w:r>
        <w:rPr>
          <w:rFonts w:hint="default" w:ascii="Times New Roman" w:hAnsi="Times New Roman" w:cs="Times New Roman"/>
          <w:color w:val="auto"/>
          <w:sz w:val="24"/>
          <w:szCs w:val="24"/>
        </w:rPr>
        <w:t>总投资</w:t>
      </w:r>
      <w:r>
        <w:rPr>
          <w:rFonts w:hint="eastAsia" w:cs="Times New Roman"/>
          <w:color w:val="auto"/>
          <w:sz w:val="24"/>
          <w:szCs w:val="24"/>
          <w:lang w:val="en-US" w:eastAsia="zh-CN"/>
        </w:rPr>
        <w:t>20</w:t>
      </w:r>
      <w:r>
        <w:rPr>
          <w:rFonts w:hint="default" w:ascii="Times New Roman" w:hAnsi="Times New Roman" w:cs="Times New Roman"/>
          <w:color w:val="auto"/>
          <w:sz w:val="24"/>
          <w:szCs w:val="24"/>
        </w:rPr>
        <w:t>万元，其中环保投资</w:t>
      </w:r>
      <w:r>
        <w:rPr>
          <w:rFonts w:hint="eastAsia" w:cs="Times New Roman"/>
          <w:color w:val="auto"/>
          <w:sz w:val="24"/>
          <w:szCs w:val="24"/>
          <w:lang w:val="en-US" w:eastAsia="zh-CN"/>
        </w:rPr>
        <w:t>3</w:t>
      </w:r>
      <w:r>
        <w:rPr>
          <w:rFonts w:hint="default" w:ascii="Times New Roman" w:hAnsi="Times New Roman" w:cs="Times New Roman"/>
          <w:color w:val="auto"/>
          <w:sz w:val="24"/>
          <w:szCs w:val="24"/>
        </w:rPr>
        <w:t>万元</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环评单位：杭州天川环保科技有限公司。</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审批部门：杭州市萧山区环境保护局萧环建</w:t>
      </w:r>
      <w:r>
        <w:rPr>
          <w:rFonts w:hint="default" w:ascii="Times New Roman" w:hAnsi="Times New Roman" w:cs="Times New Roman"/>
          <w:sz w:val="24"/>
          <w:szCs w:val="24"/>
          <w:lang w:eastAsia="zh-CN"/>
        </w:rPr>
        <w:t>[2016]</w:t>
      </w:r>
      <w:r>
        <w:rPr>
          <w:rFonts w:hint="eastAsia" w:cs="Times New Roman"/>
          <w:sz w:val="24"/>
          <w:szCs w:val="24"/>
          <w:lang w:val="en-US" w:eastAsia="zh-CN"/>
        </w:rPr>
        <w:t>466</w:t>
      </w:r>
      <w:r>
        <w:rPr>
          <w:rFonts w:hint="default" w:ascii="Times New Roman" w:hAnsi="Times New Roman" w:cs="Times New Roman"/>
          <w:sz w:val="24"/>
          <w:szCs w:val="24"/>
        </w:rPr>
        <w:t>号。</w:t>
      </w:r>
    </w:p>
    <w:p>
      <w:pPr>
        <w:pStyle w:val="3"/>
        <w:spacing w:line="360" w:lineRule="auto"/>
        <w:rPr>
          <w:rFonts w:hint="default" w:ascii="Times New Roman" w:hAnsi="Times New Roman" w:cs="Times New Roman"/>
        </w:rPr>
      </w:pPr>
      <w:bookmarkStart w:id="12" w:name="_Toc22800"/>
      <w:r>
        <w:rPr>
          <w:rFonts w:hint="default" w:ascii="Times New Roman" w:hAnsi="Times New Roman" w:cs="Times New Roman"/>
        </w:rPr>
        <w:t>3.2生产工艺情况介绍</w:t>
      </w:r>
      <w:bookmarkEnd w:id="12"/>
    </w:p>
    <w:bookmarkEnd w:id="11"/>
    <w:p>
      <w:pPr>
        <w:pStyle w:val="68"/>
        <w:spacing w:before="156" w:beforeLines="50"/>
        <w:rPr>
          <w:rFonts w:hint="default" w:ascii="Times New Roman" w:hAnsi="Times New Roman" w:cs="Times New Roman"/>
        </w:rPr>
      </w:pPr>
      <w:r>
        <w:rPr>
          <w:rFonts w:hint="default" w:ascii="Times New Roman" w:hAnsi="Times New Roman" w:cs="Times New Roman"/>
        </w:rPr>
        <w:t>3.2.1工艺流程</w:t>
      </w:r>
    </w:p>
    <w:p>
      <w:pPr>
        <w:pStyle w:val="51"/>
        <w:rPr>
          <w:rFonts w:hint="default" w:ascii="Times New Roman" w:hAnsi="Times New Roman" w:cs="Times New Roman"/>
        </w:rPr>
      </w:pPr>
      <w:r>
        <w:rPr>
          <w:rFonts w:hint="default" w:ascii="Times New Roman" w:hAnsi="Times New Roman" w:cs="Times New Roman"/>
        </w:rPr>
        <w:t>该项目生产工艺流程图，见图3-1</w:t>
      </w:r>
      <w:r>
        <w:rPr>
          <w:rFonts w:hint="eastAsia" w:ascii="Times New Roman" w:hAnsi="Times New Roman" w:cs="Times New Roman"/>
          <w:lang w:eastAsia="zh-CN"/>
        </w:rPr>
        <w:t>、</w:t>
      </w:r>
      <w:r>
        <w:rPr>
          <w:rFonts w:hint="eastAsia" w:ascii="Times New Roman" w:hAnsi="Times New Roman" w:cs="Times New Roman"/>
          <w:lang w:val="en-US" w:eastAsia="zh-CN"/>
        </w:rPr>
        <w:t>3-2</w:t>
      </w:r>
      <w:r>
        <w:rPr>
          <w:rFonts w:hint="default" w:ascii="Times New Roman" w:hAnsi="Times New Roman" w:cs="Times New Roman"/>
        </w:rPr>
        <w:t>。</w:t>
      </w:r>
    </w:p>
    <w:p>
      <w:pPr>
        <w:pStyle w:val="51"/>
        <w:jc w:val="center"/>
        <w:rPr>
          <w:rFonts w:hint="default" w:ascii="Times New Roman" w:hAnsi="Times New Roman" w:cs="Times New Roman"/>
          <w:b/>
          <w:bCs/>
        </w:rPr>
      </w:pPr>
      <w:r>
        <w:object>
          <v:shape id="_x0000_i1025" o:spt="75" type="#_x0000_t75" style="height:113.45pt;width:358.9pt;" o:ole="t" filled="f" o:preferrelative="t" stroked="f" coordsize="21600,21600">
            <v:path/>
            <v:fill on="f" focussize="0,0"/>
            <v:stroke on="f"/>
            <v:imagedata r:id="rId8" o:title=""/>
            <o:lock v:ext="edit" aspectratio="t"/>
            <w10:wrap type="none"/>
            <w10:anchorlock/>
          </v:shape>
          <o:OLEObject Type="Embed" ProgID="Visio.Drawing.11" ShapeID="_x0000_i1025" DrawAspect="Content" ObjectID="_1468075725" r:id="rId7">
            <o:LockedField>false</o:LockedField>
          </o:OLEObject>
        </w:object>
      </w:r>
    </w:p>
    <w:p>
      <w:pPr>
        <w:spacing w:line="360" w:lineRule="auto"/>
        <w:jc w:val="center"/>
        <w:rPr>
          <w:rFonts w:hint="default" w:ascii="Times New Roman" w:hAnsi="Times New Roman" w:cs="Times New Roman"/>
          <w:b/>
          <w:bCs/>
        </w:rPr>
      </w:pPr>
      <w:r>
        <w:rPr>
          <w:rFonts w:hint="default" w:ascii="Times New Roman" w:hAnsi="Times New Roman" w:cs="Times New Roman"/>
          <w:b/>
          <w:bCs/>
        </w:rPr>
        <w:t>图3-1机械设备、平面磨床生产工艺流程</w:t>
      </w:r>
      <w:r>
        <w:rPr>
          <w:rFonts w:hint="eastAsia" w:ascii="Times New Roman" w:hAnsi="Times New Roman" w:cs="Times New Roman"/>
          <w:b/>
          <w:bCs/>
          <w:lang w:eastAsia="zh-CN"/>
        </w:rPr>
        <w:t>及产污环节</w:t>
      </w:r>
      <w:r>
        <w:rPr>
          <w:rFonts w:hint="default" w:ascii="Times New Roman" w:hAnsi="Times New Roman" w:cs="Times New Roman"/>
          <w:b/>
          <w:bCs/>
        </w:rPr>
        <w:t>图</w:t>
      </w:r>
    </w:p>
    <w:p>
      <w:pPr>
        <w:adjustRightInd w:val="0"/>
        <w:snapToGrid w:val="0"/>
        <w:spacing w:line="360" w:lineRule="auto"/>
        <w:jc w:val="center"/>
      </w:pPr>
      <w:r>
        <w:t xml:space="preserve"> </w:t>
      </w:r>
      <w:r>
        <w:object>
          <v:shape id="_x0000_i1026" o:spt="75" type="#_x0000_t75" style="height:75.2pt;width:279.5pt;" o:ole="t" filled="f" o:preferrelative="t" stroked="f" coordsize="21600,21600">
            <v:path/>
            <v:fill on="f" focussize="0,0"/>
            <v:stroke on="f"/>
            <v:imagedata r:id="rId10" o:title=""/>
            <o:lock v:ext="edit" aspectratio="t"/>
            <w10:wrap type="none"/>
            <w10:anchorlock/>
          </v:shape>
          <o:OLEObject Type="Embed" ProgID="Visio.Drawing.11" ShapeID="_x0000_i1026" DrawAspect="Content" ObjectID="_1468075726" r:id="rId9">
            <o:LockedField>false</o:LockedField>
          </o:OLEObject>
        </w:object>
      </w:r>
    </w:p>
    <w:p>
      <w:pPr>
        <w:spacing w:line="360" w:lineRule="auto"/>
        <w:jc w:val="center"/>
        <w:rPr>
          <w:rFonts w:hint="default" w:ascii="Times New Roman" w:hAnsi="Times New Roman" w:cs="Times New Roman"/>
          <w:b/>
          <w:bCs/>
          <w:szCs w:val="22"/>
        </w:rPr>
      </w:pPr>
      <w:r>
        <w:rPr>
          <w:rFonts w:hint="default" w:ascii="Times New Roman" w:hAnsi="Times New Roman" w:cs="Times New Roman"/>
          <w:b/>
          <w:bCs/>
          <w:szCs w:val="22"/>
        </w:rPr>
        <w:t>图</w:t>
      </w:r>
      <w:r>
        <w:rPr>
          <w:rFonts w:hint="eastAsia" w:ascii="Times New Roman" w:hAnsi="Times New Roman" w:cs="Times New Roman"/>
          <w:b/>
          <w:bCs/>
          <w:szCs w:val="22"/>
          <w:lang w:val="en-US" w:eastAsia="zh-CN"/>
        </w:rPr>
        <w:t>3-2</w:t>
      </w:r>
      <w:r>
        <w:rPr>
          <w:rFonts w:hint="default" w:ascii="Times New Roman" w:hAnsi="Times New Roman" w:cs="Times New Roman"/>
          <w:b/>
          <w:bCs/>
          <w:szCs w:val="22"/>
        </w:rPr>
        <w:t xml:space="preserve">  项目五金机械配件生产工艺及产污流程图</w:t>
      </w:r>
    </w:p>
    <w:p>
      <w:pPr>
        <w:keepNext w:val="0"/>
        <w:keepLines w:val="0"/>
        <w:widowControl/>
        <w:numPr>
          <w:ilvl w:val="0"/>
          <w:numId w:val="0"/>
        </w:numPr>
        <w:suppressLineNumbers w:val="0"/>
        <w:spacing w:line="360" w:lineRule="auto"/>
        <w:ind w:leftChars="0"/>
        <w:jc w:val="left"/>
        <w:rPr>
          <w:rFonts w:hint="default" w:ascii="Times New Roman" w:hAnsi="Times New Roman" w:eastAsia="宋体" w:cs="Times New Roman"/>
          <w:color w:val="000000"/>
          <w:sz w:val="24"/>
          <w:lang w:eastAsia="zh-CN"/>
        </w:rPr>
      </w:pPr>
      <w:r>
        <w:rPr>
          <w:rFonts w:hint="default" w:ascii="Times New Roman" w:hAnsi="Times New Roman" w:eastAsia="宋体" w:cs="Times New Roman"/>
          <w:color w:val="000000"/>
          <w:sz w:val="24"/>
          <w:lang w:eastAsia="zh-CN"/>
        </w:rPr>
        <w:t>工艺流程：</w:t>
      </w:r>
    </w:p>
    <w:p>
      <w:pPr>
        <w:keepNext w:val="0"/>
        <w:keepLines w:val="0"/>
        <w:widowControl/>
        <w:numPr>
          <w:ilvl w:val="0"/>
          <w:numId w:val="0"/>
        </w:numPr>
        <w:suppressLineNumbers w:val="0"/>
        <w:spacing w:line="360" w:lineRule="auto"/>
        <w:ind w:firstLine="480" w:firstLineChars="200"/>
        <w:jc w:val="left"/>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（1）机械设备、平面磨床：</w:t>
      </w:r>
    </w:p>
    <w:p>
      <w:pPr>
        <w:keepNext w:val="0"/>
        <w:keepLines w:val="0"/>
        <w:widowControl/>
        <w:numPr>
          <w:ilvl w:val="0"/>
          <w:numId w:val="0"/>
        </w:numPr>
        <w:suppressLineNumbers w:val="0"/>
        <w:spacing w:line="360" w:lineRule="auto"/>
        <w:ind w:firstLine="480" w:firstLineChars="200"/>
        <w:jc w:val="left"/>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项目机械设备、平面磨床生产工艺相同，外购的铸铁先外协铣、镗、车加工，所得的即为外壳半成品，再回厂打孔、手工钳工完成外壳的组装，接着与外购的电子配件、电机一起手工装配后即可作为成品。</w:t>
      </w:r>
    </w:p>
    <w:p>
      <w:pPr>
        <w:keepNext w:val="0"/>
        <w:keepLines w:val="0"/>
        <w:widowControl/>
        <w:numPr>
          <w:ilvl w:val="0"/>
          <w:numId w:val="1"/>
        </w:numPr>
        <w:suppressLineNumbers w:val="0"/>
        <w:spacing w:line="360" w:lineRule="auto"/>
        <w:ind w:firstLine="480" w:firstLineChars="200"/>
        <w:jc w:val="left"/>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五金机械配件：</w:t>
      </w:r>
    </w:p>
    <w:p>
      <w:pPr>
        <w:keepNext w:val="0"/>
        <w:keepLines w:val="0"/>
        <w:widowControl/>
        <w:numPr>
          <w:ilvl w:val="0"/>
          <w:numId w:val="0"/>
        </w:numPr>
        <w:suppressLineNumbers w:val="0"/>
        <w:spacing w:line="360" w:lineRule="auto"/>
        <w:ind w:firstLine="480" w:firstLineChars="200"/>
        <w:jc w:val="left"/>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外购的铸铁、钢材经车加工、磨加工后即可作为成品。</w:t>
      </w:r>
    </w:p>
    <w:p>
      <w:pPr>
        <w:keepNext w:val="0"/>
        <w:keepLines w:val="0"/>
        <w:widowControl/>
        <w:numPr>
          <w:ilvl w:val="0"/>
          <w:numId w:val="0"/>
        </w:numPr>
        <w:suppressLineNumbers w:val="0"/>
        <w:spacing w:line="360" w:lineRule="auto"/>
        <w:ind w:firstLine="480" w:firstLineChars="200"/>
        <w:jc w:val="left"/>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项目仅为简单机加工，不涉及喷漆 、酸洗磷化等表面处理工艺。</w:t>
      </w:r>
    </w:p>
    <w:p>
      <w:pPr>
        <w:pStyle w:val="68"/>
        <w:spacing w:before="156" w:beforeLines="50"/>
        <w:rPr>
          <w:rFonts w:hint="default" w:ascii="Times New Roman" w:hAnsi="Times New Roman" w:cs="Times New Roman"/>
        </w:rPr>
      </w:pPr>
      <w:r>
        <w:rPr>
          <w:rFonts w:hint="default" w:ascii="Times New Roman" w:hAnsi="Times New Roman" w:cs="Times New Roman"/>
        </w:rPr>
        <w:t>3.2.2主要设备</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sz w:val="24"/>
          <w:szCs w:val="24"/>
        </w:rPr>
        <w:t>项目主要生产设备见表3-1。</w:t>
      </w:r>
    </w:p>
    <w:p>
      <w:pPr>
        <w:spacing w:line="360" w:lineRule="auto"/>
        <w:jc w:val="center"/>
        <w:rPr>
          <w:rFonts w:hint="default" w:ascii="Times New Roman" w:hAnsi="Times New Roman" w:cs="Times New Roman"/>
          <w:b/>
          <w:bCs/>
          <w:color w:val="auto"/>
        </w:rPr>
      </w:pPr>
      <w:r>
        <w:rPr>
          <w:rFonts w:hint="default" w:ascii="Times New Roman" w:hAnsi="Times New Roman" w:cs="Times New Roman"/>
          <w:b/>
          <w:bCs/>
          <w:color w:val="auto"/>
        </w:rPr>
        <w:t>表3-1 主要生产设备汇总</w:t>
      </w:r>
    </w:p>
    <w:tbl>
      <w:tblPr>
        <w:tblStyle w:val="25"/>
        <w:tblW w:w="82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7"/>
        <w:gridCol w:w="2410"/>
        <w:gridCol w:w="2126"/>
        <w:gridCol w:w="181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587" w:type="dxa"/>
            <w:vAlign w:val="center"/>
          </w:tcPr>
          <w:p>
            <w:pPr>
              <w:jc w:val="center"/>
              <w:rPr>
                <w:szCs w:val="21"/>
              </w:rPr>
            </w:pPr>
            <w:r>
              <w:rPr>
                <w:szCs w:val="21"/>
              </w:rPr>
              <w:t>序号</w:t>
            </w:r>
          </w:p>
        </w:tc>
        <w:tc>
          <w:tcPr>
            <w:tcW w:w="2410" w:type="dxa"/>
            <w:vAlign w:val="center"/>
          </w:tcPr>
          <w:p>
            <w:pPr>
              <w:jc w:val="center"/>
              <w:rPr>
                <w:szCs w:val="21"/>
              </w:rPr>
            </w:pPr>
            <w:r>
              <w:rPr>
                <w:szCs w:val="21"/>
              </w:rPr>
              <w:t>设备名称</w:t>
            </w:r>
          </w:p>
        </w:tc>
        <w:tc>
          <w:tcPr>
            <w:tcW w:w="2126" w:type="dxa"/>
            <w:tcBorders>
              <w:right w:val="single" w:color="auto" w:sz="4" w:space="0"/>
            </w:tcBorders>
            <w:vAlign w:val="center"/>
          </w:tcPr>
          <w:p>
            <w:pPr>
              <w:spacing w:line="360" w:lineRule="exact"/>
              <w:jc w:val="center"/>
              <w:rPr>
                <w:szCs w:val="21"/>
              </w:rPr>
            </w:pPr>
            <w:r>
              <w:rPr>
                <w:rFonts w:hint="eastAsia" w:cs="Times New Roman"/>
                <w:szCs w:val="21"/>
                <w:lang w:val="en-US" w:eastAsia="zh-CN"/>
              </w:rPr>
              <w:t>环评数量（台）</w:t>
            </w:r>
          </w:p>
        </w:tc>
        <w:tc>
          <w:tcPr>
            <w:tcW w:w="1819" w:type="dxa"/>
            <w:vAlign w:val="center"/>
          </w:tcPr>
          <w:p>
            <w:pPr>
              <w:spacing w:line="360" w:lineRule="exact"/>
              <w:jc w:val="center"/>
              <w:rPr>
                <w:szCs w:val="21"/>
              </w:rPr>
            </w:pPr>
            <w:r>
              <w:rPr>
                <w:rFonts w:hint="eastAsia" w:cs="Times New Roman"/>
                <w:szCs w:val="21"/>
                <w:lang w:val="en-US" w:eastAsia="zh-CN"/>
              </w:rPr>
              <w:t>实际数量（台）</w:t>
            </w:r>
          </w:p>
        </w:tc>
        <w:tc>
          <w:tcPr>
            <w:tcW w:w="1353" w:type="dxa"/>
            <w:vAlign w:val="center"/>
          </w:tcPr>
          <w:p>
            <w:pPr>
              <w:spacing w:line="360" w:lineRule="exact"/>
              <w:jc w:val="center"/>
              <w:rPr>
                <w:szCs w:val="21"/>
              </w:rPr>
            </w:pPr>
            <w:r>
              <w:rPr>
                <w:rFonts w:hint="eastAsia" w:cs="Times New Roman"/>
                <w:szCs w:val="21"/>
                <w:lang w:val="en-US" w:eastAsia="zh-CN"/>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587" w:type="dxa"/>
            <w:vAlign w:val="center"/>
          </w:tcPr>
          <w:p>
            <w:pPr>
              <w:pStyle w:val="52"/>
              <w:spacing w:line="240" w:lineRule="auto"/>
              <w:textAlignment w:val="baseline"/>
              <w:rPr>
                <w:szCs w:val="21"/>
              </w:rPr>
            </w:pPr>
            <w:r>
              <w:rPr>
                <w:szCs w:val="21"/>
              </w:rPr>
              <w:t>1</w:t>
            </w:r>
          </w:p>
        </w:tc>
        <w:tc>
          <w:tcPr>
            <w:tcW w:w="2410" w:type="dxa"/>
            <w:vAlign w:val="center"/>
          </w:tcPr>
          <w:p>
            <w:pPr>
              <w:adjustRightInd w:val="0"/>
              <w:snapToGrid w:val="0"/>
              <w:jc w:val="center"/>
              <w:rPr>
                <w:szCs w:val="21"/>
              </w:rPr>
            </w:pPr>
            <w:r>
              <w:rPr>
                <w:szCs w:val="21"/>
              </w:rPr>
              <w:t>磨床</w:t>
            </w:r>
          </w:p>
        </w:tc>
        <w:tc>
          <w:tcPr>
            <w:tcW w:w="2126" w:type="dxa"/>
            <w:tcBorders>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w:t>
            </w:r>
          </w:p>
        </w:tc>
        <w:tc>
          <w:tcPr>
            <w:tcW w:w="18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1</w:t>
            </w:r>
          </w:p>
        </w:tc>
        <w:tc>
          <w:tcPr>
            <w:tcW w:w="1353" w:type="dxa"/>
            <w:vAlign w:val="center"/>
          </w:tcPr>
          <w:p>
            <w:pPr>
              <w:jc w:val="center"/>
              <w:rPr>
                <w:rFonts w:ascii="Times New Roman" w:hAnsi="Times New Roman" w:cs="Times New Roman"/>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587" w:type="dxa"/>
            <w:vAlign w:val="center"/>
          </w:tcPr>
          <w:p>
            <w:pPr>
              <w:pStyle w:val="52"/>
              <w:spacing w:line="240" w:lineRule="auto"/>
              <w:textAlignment w:val="baseline"/>
              <w:rPr>
                <w:szCs w:val="21"/>
              </w:rPr>
            </w:pPr>
            <w:r>
              <w:rPr>
                <w:rFonts w:hint="eastAsia"/>
                <w:szCs w:val="21"/>
              </w:rPr>
              <w:t>2</w:t>
            </w:r>
          </w:p>
        </w:tc>
        <w:tc>
          <w:tcPr>
            <w:tcW w:w="2410" w:type="dxa"/>
            <w:vAlign w:val="center"/>
          </w:tcPr>
          <w:p>
            <w:pPr>
              <w:adjustRightInd w:val="0"/>
              <w:snapToGrid w:val="0"/>
              <w:jc w:val="center"/>
              <w:rPr>
                <w:szCs w:val="21"/>
              </w:rPr>
            </w:pPr>
            <w:r>
              <w:rPr>
                <w:szCs w:val="21"/>
              </w:rPr>
              <w:t>钻床</w:t>
            </w:r>
          </w:p>
        </w:tc>
        <w:tc>
          <w:tcPr>
            <w:tcW w:w="2126" w:type="dxa"/>
            <w:tcBorders>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w:t>
            </w:r>
          </w:p>
        </w:tc>
        <w:tc>
          <w:tcPr>
            <w:tcW w:w="18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1</w:t>
            </w:r>
          </w:p>
        </w:tc>
        <w:tc>
          <w:tcPr>
            <w:tcW w:w="1353" w:type="dxa"/>
            <w:vAlign w:val="center"/>
          </w:tcPr>
          <w:p>
            <w:pPr>
              <w:jc w:val="center"/>
              <w:rPr>
                <w:rFonts w:ascii="Times New Roman" w:hAnsi="Times New Roman" w:cs="Times New Roman"/>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587" w:type="dxa"/>
            <w:vAlign w:val="center"/>
          </w:tcPr>
          <w:p>
            <w:pPr>
              <w:pStyle w:val="52"/>
              <w:spacing w:line="240" w:lineRule="auto"/>
              <w:textAlignment w:val="baseline"/>
              <w:rPr>
                <w:szCs w:val="21"/>
              </w:rPr>
            </w:pPr>
            <w:r>
              <w:rPr>
                <w:rFonts w:hint="eastAsia"/>
                <w:szCs w:val="21"/>
              </w:rPr>
              <w:t>3</w:t>
            </w:r>
          </w:p>
        </w:tc>
        <w:tc>
          <w:tcPr>
            <w:tcW w:w="2410" w:type="dxa"/>
            <w:vAlign w:val="center"/>
          </w:tcPr>
          <w:p>
            <w:pPr>
              <w:adjustRightInd w:val="0"/>
              <w:snapToGrid w:val="0"/>
              <w:jc w:val="center"/>
              <w:rPr>
                <w:szCs w:val="21"/>
              </w:rPr>
            </w:pPr>
            <w:r>
              <w:rPr>
                <w:szCs w:val="21"/>
              </w:rPr>
              <w:t>普通车床</w:t>
            </w:r>
          </w:p>
        </w:tc>
        <w:tc>
          <w:tcPr>
            <w:tcW w:w="2126" w:type="dxa"/>
            <w:tcBorders>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w:t>
            </w:r>
          </w:p>
        </w:tc>
        <w:tc>
          <w:tcPr>
            <w:tcW w:w="18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1</w:t>
            </w:r>
          </w:p>
        </w:tc>
        <w:tc>
          <w:tcPr>
            <w:tcW w:w="1353" w:type="dxa"/>
            <w:vAlign w:val="center"/>
          </w:tcPr>
          <w:p>
            <w:pPr>
              <w:jc w:val="center"/>
              <w:rPr>
                <w:rFonts w:ascii="Times New Roman" w:hAnsi="Times New Roman" w:cs="Times New Roman"/>
              </w:rPr>
            </w:pPr>
            <w:r>
              <w:rPr>
                <w:rFonts w:hint="eastAsia" w:cs="Times New Roman"/>
                <w:szCs w:val="21"/>
                <w:lang w:val="en-US" w:eastAsia="zh-CN"/>
              </w:rPr>
              <w:t>是</w:t>
            </w:r>
          </w:p>
        </w:tc>
      </w:tr>
    </w:tbl>
    <w:p>
      <w:pPr>
        <w:pStyle w:val="68"/>
        <w:spacing w:before="156" w:beforeLines="50"/>
        <w:rPr>
          <w:rFonts w:hint="default" w:ascii="Times New Roman" w:hAnsi="Times New Roman" w:cs="Times New Roman"/>
        </w:rPr>
      </w:pPr>
      <w:r>
        <w:rPr>
          <w:rFonts w:hint="default" w:ascii="Times New Roman" w:hAnsi="Times New Roman" w:cs="Times New Roman"/>
        </w:rPr>
        <w:t>3.2.3原辅材料消耗</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项目原辅材料消耗情况见表3-2。</w:t>
      </w:r>
    </w:p>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表3-2 主要原辅材料清单</w:t>
      </w:r>
    </w:p>
    <w:tbl>
      <w:tblPr>
        <w:tblStyle w:val="25"/>
        <w:tblW w:w="82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
        <w:gridCol w:w="1927"/>
        <w:gridCol w:w="2151"/>
        <w:gridCol w:w="1615"/>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32" w:type="dxa"/>
            <w:vAlign w:val="center"/>
          </w:tcPr>
          <w:p>
            <w:pPr>
              <w:widowControl/>
              <w:jc w:val="center"/>
              <w:rPr>
                <w:szCs w:val="21"/>
              </w:rPr>
            </w:pPr>
            <w:r>
              <w:rPr>
                <w:rFonts w:hAnsi="宋体"/>
                <w:szCs w:val="21"/>
              </w:rPr>
              <w:t>序号</w:t>
            </w:r>
          </w:p>
        </w:tc>
        <w:tc>
          <w:tcPr>
            <w:tcW w:w="1927" w:type="dxa"/>
            <w:vAlign w:val="center"/>
          </w:tcPr>
          <w:p>
            <w:pPr>
              <w:widowControl/>
              <w:jc w:val="center"/>
              <w:rPr>
                <w:szCs w:val="21"/>
              </w:rPr>
            </w:pPr>
            <w:r>
              <w:rPr>
                <w:rFonts w:hAnsi="宋体"/>
                <w:szCs w:val="21"/>
              </w:rPr>
              <w:t>名称</w:t>
            </w:r>
          </w:p>
        </w:tc>
        <w:tc>
          <w:tcPr>
            <w:tcW w:w="2151"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cs="Times New Roman"/>
                <w:szCs w:val="21"/>
                <w:lang w:val="en-US" w:eastAsia="zh-CN"/>
              </w:rPr>
              <w:t>设计用量</w:t>
            </w:r>
          </w:p>
        </w:tc>
        <w:tc>
          <w:tcPr>
            <w:tcW w:w="1615" w:type="dxa"/>
            <w:vAlign w:val="center"/>
          </w:tcPr>
          <w:p>
            <w:pPr>
              <w:tabs>
                <w:tab w:val="right" w:leader="dot" w:pos="8296"/>
              </w:tabs>
              <w:spacing w:line="276" w:lineRule="auto"/>
              <w:jc w:val="center"/>
              <w:rPr>
                <w:szCs w:val="21"/>
              </w:rPr>
            </w:pPr>
            <w:r>
              <w:rPr>
                <w:rFonts w:hint="default" w:ascii="Times New Roman" w:hAnsi="Times New Roman" w:cs="Times New Roman"/>
                <w:kern w:val="0"/>
                <w:szCs w:val="21"/>
              </w:rPr>
              <w:t>实际用量</w:t>
            </w:r>
          </w:p>
        </w:tc>
        <w:tc>
          <w:tcPr>
            <w:tcW w:w="1944" w:type="dxa"/>
            <w:vAlign w:val="center"/>
          </w:tcPr>
          <w:p>
            <w:pPr>
              <w:tabs>
                <w:tab w:val="right" w:leader="dot" w:pos="8296"/>
              </w:tabs>
              <w:spacing w:line="276" w:lineRule="auto"/>
              <w:jc w:val="center"/>
              <w:rPr>
                <w:szCs w:val="21"/>
              </w:rPr>
            </w:pPr>
            <w:r>
              <w:rPr>
                <w:rFonts w:hint="eastAsia" w:cs="Times New Roman"/>
                <w:b w:val="0"/>
                <w:sz w:val="21"/>
                <w:szCs w:val="21"/>
                <w:lang w:eastAsia="zh-CN"/>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8269" w:type="dxa"/>
            <w:gridSpan w:val="5"/>
            <w:vAlign w:val="center"/>
          </w:tcPr>
          <w:p>
            <w:pPr>
              <w:widowControl/>
              <w:jc w:val="center"/>
              <w:rPr>
                <w:rFonts w:hAnsi="宋体"/>
                <w:szCs w:val="21"/>
              </w:rPr>
            </w:pPr>
            <w:r>
              <w:rPr>
                <w:bCs/>
                <w:szCs w:val="21"/>
              </w:rPr>
              <w:t>机械设备原辅材料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szCs w:val="21"/>
              </w:rPr>
              <w:t>1</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铸铁</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130</w:t>
            </w:r>
            <w:r>
              <w:rPr>
                <w:rFonts w:hint="eastAsia"/>
                <w:szCs w:val="21"/>
              </w:rPr>
              <w:t>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130</w:t>
            </w:r>
            <w:r>
              <w:rPr>
                <w:rFonts w:hint="eastAsia"/>
                <w:szCs w:val="21"/>
              </w:rPr>
              <w:t>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szCs w:val="21"/>
              </w:rPr>
              <w:t>2</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机油</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5kg</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5kg</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电子配件</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30套</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30套</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4</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电机</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50台</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50台</w:t>
            </w:r>
            <w:r>
              <w:rPr>
                <w:rFonts w:hint="eastAsia"/>
                <w:szCs w:val="21"/>
              </w:rPr>
              <w:t>/a</w:t>
            </w:r>
          </w:p>
        </w:tc>
        <w:tc>
          <w:tcPr>
            <w:tcW w:w="1944" w:type="dxa"/>
            <w:vAlign w:val="center"/>
          </w:tcPr>
          <w:p>
            <w:pPr>
              <w:jc w:val="center"/>
              <w:rPr>
                <w:rFonts w:hAnsi="宋体"/>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269" w:type="dxa"/>
            <w:gridSpan w:val="5"/>
            <w:tcBorders>
              <w:top w:val="single" w:color="000000" w:sz="4" w:space="0"/>
              <w:left w:val="single" w:color="000000" w:sz="4" w:space="0"/>
              <w:bottom w:val="single" w:color="000000" w:sz="4" w:space="0"/>
            </w:tcBorders>
            <w:vAlign w:val="center"/>
          </w:tcPr>
          <w:p>
            <w:pPr>
              <w:jc w:val="center"/>
              <w:rPr>
                <w:szCs w:val="21"/>
              </w:rPr>
            </w:pPr>
            <w:r>
              <w:rPr>
                <w:szCs w:val="21"/>
              </w:rPr>
              <w:t>五金机械配件原辅材料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5</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铸铁、钢材</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10.5</w:t>
            </w:r>
            <w:r>
              <w:rPr>
                <w:rFonts w:hint="eastAsia"/>
                <w:szCs w:val="21"/>
              </w:rPr>
              <w:t>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10.5</w:t>
            </w:r>
            <w:r>
              <w:rPr>
                <w:rFonts w:hint="eastAsia"/>
                <w:szCs w:val="21"/>
              </w:rPr>
              <w:t>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6</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机油</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10kg</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10kg</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7</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切削液</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50kg</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50kg</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269" w:type="dxa"/>
            <w:gridSpan w:val="5"/>
            <w:tcBorders>
              <w:top w:val="single" w:color="000000" w:sz="4" w:space="0"/>
              <w:left w:val="single" w:color="000000" w:sz="4" w:space="0"/>
              <w:bottom w:val="single" w:color="000000" w:sz="4" w:space="0"/>
            </w:tcBorders>
            <w:vAlign w:val="center"/>
          </w:tcPr>
          <w:p>
            <w:pPr>
              <w:jc w:val="center"/>
              <w:rPr>
                <w:szCs w:val="21"/>
              </w:rPr>
            </w:pPr>
            <w:r>
              <w:rPr>
                <w:szCs w:val="21"/>
              </w:rPr>
              <w:t>平面磨床原辅材料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8</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铸铁</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59.5</w:t>
            </w:r>
            <w:r>
              <w:rPr>
                <w:rFonts w:hint="eastAsia"/>
                <w:szCs w:val="21"/>
              </w:rPr>
              <w:t>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59.5</w:t>
            </w:r>
            <w:r>
              <w:rPr>
                <w:rFonts w:hint="eastAsia"/>
                <w:szCs w:val="21"/>
              </w:rPr>
              <w:t>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9</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机油</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5kg</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5kg</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10</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电子配件</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50套</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50套</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52"/>
              <w:spacing w:line="240" w:lineRule="auto"/>
              <w:textAlignment w:val="baseline"/>
              <w:rPr>
                <w:szCs w:val="21"/>
              </w:rPr>
            </w:pPr>
            <w:r>
              <w:rPr>
                <w:rFonts w:hint="eastAsia"/>
                <w:szCs w:val="21"/>
              </w:rPr>
              <w:t>11</w:t>
            </w:r>
          </w:p>
        </w:tc>
        <w:tc>
          <w:tcPr>
            <w:tcW w:w="19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电机</w:t>
            </w:r>
          </w:p>
        </w:tc>
        <w:tc>
          <w:tcPr>
            <w:tcW w:w="2151"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szCs w:val="21"/>
              </w:rPr>
            </w:pPr>
            <w:r>
              <w:rPr>
                <w:szCs w:val="21"/>
              </w:rPr>
              <w:t>100台</w:t>
            </w:r>
            <w:r>
              <w:rPr>
                <w:rFonts w:hint="eastAsia"/>
                <w:szCs w:val="21"/>
              </w:rPr>
              <w:t>/a</w:t>
            </w:r>
          </w:p>
        </w:tc>
        <w:tc>
          <w:tcPr>
            <w:tcW w:w="16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szCs w:val="21"/>
              </w:rPr>
              <w:t>100台</w:t>
            </w:r>
            <w:r>
              <w:rPr>
                <w:rFonts w:hint="eastAsia"/>
                <w:szCs w:val="21"/>
              </w:rPr>
              <w:t>/a</w:t>
            </w:r>
          </w:p>
        </w:tc>
        <w:tc>
          <w:tcPr>
            <w:tcW w:w="1944" w:type="dxa"/>
            <w:vAlign w:val="center"/>
          </w:tcPr>
          <w:p>
            <w:pPr>
              <w:jc w:val="center"/>
              <w:rPr>
                <w:szCs w:val="21"/>
              </w:rPr>
            </w:pPr>
            <w:r>
              <w:rPr>
                <w:rFonts w:hint="eastAsia" w:cs="Times New Roman"/>
                <w:szCs w:val="21"/>
                <w:lang w:val="en-US" w:eastAsia="zh-CN"/>
              </w:rPr>
              <w:t>是</w:t>
            </w:r>
          </w:p>
        </w:tc>
      </w:tr>
    </w:tbl>
    <w:p>
      <w:pPr>
        <w:pStyle w:val="3"/>
        <w:spacing w:line="360" w:lineRule="auto"/>
        <w:rPr>
          <w:rFonts w:hint="default" w:ascii="Times New Roman" w:hAnsi="Times New Roman" w:cs="Times New Roman"/>
        </w:rPr>
      </w:pPr>
      <w:bookmarkStart w:id="13" w:name="_Toc19095"/>
      <w:bookmarkStart w:id="14" w:name="_Toc19430"/>
      <w:r>
        <w:rPr>
          <w:rFonts w:hint="default" w:ascii="Times New Roman" w:hAnsi="Times New Roman" w:cs="Times New Roman"/>
        </w:rPr>
        <w:t>3.3污染源及污染物分析和污染治理措施</w:t>
      </w:r>
      <w:bookmarkEnd w:id="13"/>
      <w:bookmarkEnd w:id="14"/>
    </w:p>
    <w:p>
      <w:pPr>
        <w:pStyle w:val="68"/>
        <w:spacing w:before="156" w:beforeLines="50"/>
        <w:rPr>
          <w:rFonts w:hint="default" w:ascii="Times New Roman" w:hAnsi="Times New Roman" w:cs="Times New Roman"/>
        </w:rPr>
      </w:pPr>
      <w:r>
        <w:rPr>
          <w:rFonts w:hint="default" w:ascii="Times New Roman" w:hAnsi="Times New Roman" w:cs="Times New Roman"/>
        </w:rPr>
        <w:t>3.3.1废水</w:t>
      </w:r>
    </w:p>
    <w:p>
      <w:pPr>
        <w:spacing w:line="360" w:lineRule="auto"/>
        <w:ind w:firstLine="480" w:firstLineChars="200"/>
        <w:rPr>
          <w:rFonts w:hint="eastAsia" w:ascii="Times New Roman" w:hAnsi="Times New Roman" w:cs="Times New Roman"/>
          <w:bCs/>
          <w:sz w:val="24"/>
          <w:szCs w:val="24"/>
          <w:lang w:eastAsia="zh-CN"/>
        </w:rPr>
      </w:pPr>
      <w:r>
        <w:rPr>
          <w:rFonts w:hint="eastAsia" w:ascii="Times New Roman" w:hAnsi="Times New Roman" w:cs="Times New Roman"/>
          <w:bCs/>
          <w:sz w:val="24"/>
          <w:szCs w:val="24"/>
          <w:lang w:eastAsia="zh-CN"/>
        </w:rPr>
        <w:t>本项目废水主要为生活污水。</w:t>
      </w:r>
    </w:p>
    <w:p>
      <w:pPr>
        <w:spacing w:line="360" w:lineRule="auto"/>
        <w:ind w:firstLine="480" w:firstLineChars="200"/>
        <w:rPr>
          <w:rFonts w:hint="eastAsia" w:ascii="Times New Roman" w:hAnsi="Times New Roman" w:cs="Times New Roman"/>
          <w:bCs/>
          <w:sz w:val="24"/>
          <w:szCs w:val="24"/>
          <w:lang w:eastAsia="zh-CN"/>
        </w:rPr>
      </w:pPr>
      <w:r>
        <w:rPr>
          <w:rFonts w:hint="eastAsia" w:ascii="Times New Roman" w:hAnsi="Times New Roman" w:cs="Times New Roman"/>
          <w:bCs/>
          <w:sz w:val="24"/>
          <w:szCs w:val="24"/>
          <w:lang w:eastAsia="zh-CN"/>
        </w:rPr>
        <w:t>生活污水</w:t>
      </w:r>
      <w:r>
        <w:rPr>
          <w:sz w:val="24"/>
        </w:rPr>
        <w:t>经化粪池预处理后，达到《污水综合排放标准》（GB8978-1996）中的</w:t>
      </w:r>
      <w:r>
        <w:rPr>
          <w:rFonts w:hint="eastAsia"/>
          <w:sz w:val="24"/>
          <w:lang w:eastAsia="zh-CN"/>
        </w:rPr>
        <w:t>三</w:t>
      </w:r>
      <w:r>
        <w:rPr>
          <w:sz w:val="24"/>
        </w:rPr>
        <w:t>级排放标准后</w:t>
      </w:r>
      <w:r>
        <w:rPr>
          <w:rFonts w:hint="eastAsia"/>
          <w:sz w:val="24"/>
          <w:lang w:eastAsia="zh-CN"/>
        </w:rPr>
        <w:t>纳管至</w:t>
      </w:r>
      <w:r>
        <w:rPr>
          <w:rFonts w:hint="eastAsia"/>
          <w:sz w:val="24"/>
        </w:rPr>
        <w:t>污水处理厂</w:t>
      </w:r>
      <w:r>
        <w:rPr>
          <w:sz w:val="24"/>
        </w:rPr>
        <w:t>。</w:t>
      </w:r>
    </w:p>
    <w:p>
      <w:pPr>
        <w:pStyle w:val="68"/>
        <w:spacing w:before="156" w:beforeLines="50"/>
        <w:rPr>
          <w:rFonts w:hint="default" w:ascii="Times New Roman" w:hAnsi="Times New Roman" w:cs="Times New Roman"/>
        </w:rPr>
      </w:pPr>
      <w:r>
        <w:rPr>
          <w:rFonts w:hint="default" w:ascii="Times New Roman" w:hAnsi="Times New Roman" w:cs="Times New Roman"/>
        </w:rPr>
        <w:t>3.3.2废气</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项目粉尘沉降在设备周围，</w:t>
      </w:r>
      <w:r>
        <w:rPr>
          <w:rFonts w:hint="eastAsia" w:cs="Times New Roman"/>
          <w:sz w:val="24"/>
          <w:szCs w:val="24"/>
          <w:lang w:eastAsia="zh-CN"/>
        </w:rPr>
        <w:t>企业</w:t>
      </w:r>
      <w:r>
        <w:rPr>
          <w:rFonts w:hint="eastAsia" w:ascii="Times New Roman" w:hAnsi="Times New Roman" w:cs="Times New Roman"/>
          <w:sz w:val="24"/>
          <w:szCs w:val="24"/>
          <w:lang w:eastAsia="zh-CN"/>
        </w:rPr>
        <w:t>及时清扫。</w:t>
      </w:r>
    </w:p>
    <w:p>
      <w:pPr>
        <w:pStyle w:val="68"/>
        <w:spacing w:before="156" w:beforeLines="50"/>
        <w:rPr>
          <w:rFonts w:hint="default" w:ascii="Times New Roman" w:hAnsi="Times New Roman" w:cs="Times New Roman"/>
        </w:rPr>
      </w:pPr>
      <w:r>
        <w:rPr>
          <w:rFonts w:hint="default" w:ascii="Times New Roman" w:hAnsi="Times New Roman" w:cs="Times New Roman"/>
        </w:rPr>
        <w:t>3.3.3噪声</w:t>
      </w:r>
    </w:p>
    <w:p>
      <w:pPr>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项目噪声污染主要来源于磨床、钻床、普通车床运行时产生的噪声。</w:t>
      </w:r>
    </w:p>
    <w:p>
      <w:pPr>
        <w:pStyle w:val="68"/>
        <w:spacing w:before="156" w:beforeLines="50"/>
        <w:rPr>
          <w:rFonts w:hint="default" w:ascii="Times New Roman" w:hAnsi="Times New Roman" w:cs="Times New Roman"/>
        </w:rPr>
      </w:pPr>
      <w:r>
        <w:rPr>
          <w:rFonts w:hint="default" w:ascii="Times New Roman" w:hAnsi="Times New Roman" w:cs="Times New Roman"/>
        </w:rPr>
        <w:t>3.3.4固体废物</w:t>
      </w:r>
    </w:p>
    <w:p>
      <w:pPr>
        <w:spacing w:line="360" w:lineRule="auto"/>
        <w:ind w:firstLine="480" w:firstLineChars="20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lang w:eastAsia="zh-CN"/>
        </w:rPr>
        <w:t>本项目固废主要为金属边角料、生活垃圾、废切削液、废机油。</w:t>
      </w:r>
    </w:p>
    <w:p>
      <w:pPr>
        <w:spacing w:line="360" w:lineRule="auto"/>
        <w:ind w:firstLine="480" w:firstLineChars="200"/>
        <w:jc w:val="left"/>
        <w:rPr>
          <w:rFonts w:hint="eastAsia" w:ascii="Times New Roman" w:hAnsi="Times New Roman" w:eastAsia="宋体" w:cs="Times New Roman"/>
          <w:bCs/>
          <w:sz w:val="24"/>
          <w:szCs w:val="24"/>
          <w:lang w:eastAsia="zh-CN"/>
        </w:rPr>
      </w:pPr>
      <w:r>
        <w:rPr>
          <w:rFonts w:hint="eastAsia" w:ascii="Times New Roman" w:hAnsi="Times New Roman" w:cs="Times New Roman"/>
          <w:bCs/>
          <w:sz w:val="24"/>
          <w:szCs w:val="24"/>
          <w:lang w:eastAsia="zh-CN"/>
        </w:rPr>
        <w:t>本项目投产后，金属边角料由物资回收公司回收利用；生活垃圾由环卫部门统一清运处理；废机油、废切削液委托</w:t>
      </w:r>
      <w:r>
        <w:rPr>
          <w:rFonts w:hint="eastAsia" w:cs="Times New Roman"/>
          <w:bCs/>
          <w:sz w:val="24"/>
          <w:szCs w:val="24"/>
          <w:lang w:eastAsia="zh-CN"/>
        </w:rPr>
        <w:t>杭州立佳环境服务有限公司</w:t>
      </w:r>
      <w:r>
        <w:rPr>
          <w:rFonts w:hint="eastAsia" w:ascii="Times New Roman" w:hAnsi="Times New Roman" w:cs="Times New Roman"/>
          <w:bCs/>
          <w:sz w:val="24"/>
          <w:szCs w:val="24"/>
          <w:lang w:eastAsia="zh-CN"/>
        </w:rPr>
        <w:t>定期清运处理。</w:t>
      </w:r>
    </w:p>
    <w:p>
      <w:pPr>
        <w:pStyle w:val="2"/>
        <w:spacing w:line="360" w:lineRule="auto"/>
        <w:rPr>
          <w:rFonts w:hint="default" w:ascii="Times New Roman" w:hAnsi="Times New Roman" w:cs="Times New Roman"/>
        </w:rPr>
      </w:pPr>
      <w:bookmarkStart w:id="15" w:name="_Toc29244"/>
    </w:p>
    <w:p>
      <w:pPr>
        <w:rPr>
          <w:rFonts w:hint="default" w:ascii="Times New Roman" w:hAnsi="Times New Roman" w:cs="Times New Roman"/>
        </w:rPr>
      </w:pPr>
    </w:p>
    <w:p>
      <w:pPr>
        <w:pStyle w:val="2"/>
        <w:spacing w:line="360" w:lineRule="auto"/>
        <w:rPr>
          <w:rFonts w:hint="default" w:ascii="Times New Roman" w:hAnsi="Times New Roman" w:cs="Times New Roman"/>
        </w:rPr>
      </w:pPr>
      <w:bookmarkStart w:id="16" w:name="_Toc11899"/>
      <w:r>
        <w:rPr>
          <w:rFonts w:hint="default" w:ascii="Times New Roman" w:hAnsi="Times New Roman" w:cs="Times New Roman"/>
        </w:rPr>
        <w:br w:type="page"/>
      </w:r>
    </w:p>
    <w:p>
      <w:pPr>
        <w:pStyle w:val="2"/>
        <w:spacing w:line="360" w:lineRule="auto"/>
        <w:rPr>
          <w:rFonts w:hint="default" w:ascii="Times New Roman" w:hAnsi="Times New Roman" w:cs="Times New Roman"/>
          <w:sz w:val="24"/>
          <w:szCs w:val="24"/>
        </w:rPr>
      </w:pPr>
      <w:r>
        <w:rPr>
          <w:rFonts w:hint="default" w:ascii="Times New Roman" w:hAnsi="Times New Roman" w:cs="Times New Roman"/>
        </w:rPr>
        <w:t>第4章  环评中环评结论及批复意见</w:t>
      </w:r>
      <w:bookmarkEnd w:id="15"/>
      <w:bookmarkEnd w:id="16"/>
      <w:bookmarkStart w:id="17" w:name="_Toc227"/>
    </w:p>
    <w:p>
      <w:pPr>
        <w:pStyle w:val="3"/>
        <w:spacing w:line="360" w:lineRule="auto"/>
        <w:rPr>
          <w:rFonts w:hint="default" w:ascii="Times New Roman" w:hAnsi="Times New Roman" w:cs="Times New Roman"/>
        </w:rPr>
      </w:pPr>
      <w:bookmarkStart w:id="18" w:name="_Toc16723"/>
      <w:r>
        <w:rPr>
          <w:rFonts w:hint="default" w:ascii="Times New Roman" w:hAnsi="Times New Roman" w:cs="Times New Roman"/>
        </w:rPr>
        <w:t>4.</w:t>
      </w:r>
      <w:r>
        <w:rPr>
          <w:rFonts w:hint="default" w:ascii="Times New Roman" w:hAnsi="Times New Roman" w:cs="Times New Roman"/>
          <w:lang w:val="en-US" w:eastAsia="zh-CN"/>
        </w:rPr>
        <w:t>1</w:t>
      </w:r>
      <w:r>
        <w:rPr>
          <w:rFonts w:hint="default" w:ascii="Times New Roman" w:hAnsi="Times New Roman" w:cs="Times New Roman"/>
        </w:rPr>
        <w:t>环评</w:t>
      </w:r>
      <w:r>
        <w:rPr>
          <w:rFonts w:hint="default" w:ascii="Times New Roman" w:hAnsi="Times New Roman" w:cs="Times New Roman"/>
          <w:lang w:eastAsia="zh-CN"/>
        </w:rPr>
        <w:t>建议</w:t>
      </w:r>
      <w:bookmarkEnd w:id="18"/>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杭州天川环保科技有限公司《杭州名井精密机械有限公司新建项目环境影响报告表》的主要</w:t>
      </w:r>
      <w:r>
        <w:rPr>
          <w:rFonts w:hint="default" w:ascii="Times New Roman" w:hAnsi="Times New Roman" w:cs="Times New Roman"/>
          <w:sz w:val="24"/>
          <w:szCs w:val="24"/>
          <w:lang w:eastAsia="zh-CN"/>
        </w:rPr>
        <w:t>建议</w:t>
      </w:r>
      <w:r>
        <w:rPr>
          <w:rFonts w:hint="default" w:ascii="Times New Roman" w:hAnsi="Times New Roman" w:cs="Times New Roman"/>
          <w:sz w:val="24"/>
          <w:szCs w:val="24"/>
        </w:rPr>
        <w:t>如下：</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（1）加强对职工的环境保护教育，提高职工的环境意识；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（2）加强环保管理，落实环保措施和治理费用；</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（3）加强清洁生产的宣传和措施的落实，在清洁生产审核的基础上，建立企业环境管理体系，应加强 ISO14001 环境管理体系标准的实施，以减少污染物排放，提高企业的形象和良好发展；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（4）如产品方案、工艺、设备、原辅材料消耗等生产情况有大的变动，应及时向有关部门及时申报。</w:t>
      </w:r>
    </w:p>
    <w:p>
      <w:pPr>
        <w:spacing w:line="360" w:lineRule="auto"/>
        <w:rPr>
          <w:rFonts w:hint="default" w:ascii="Times New Roman" w:hAnsi="Times New Roman" w:cs="Times New Roman"/>
          <w:sz w:val="24"/>
          <w:szCs w:val="24"/>
          <w:lang w:eastAsia="zh-CN"/>
        </w:rPr>
      </w:pPr>
    </w:p>
    <w:p>
      <w:pPr>
        <w:pStyle w:val="3"/>
        <w:spacing w:line="360" w:lineRule="auto"/>
        <w:rPr>
          <w:rFonts w:hint="default" w:ascii="Times New Roman" w:hAnsi="Times New Roman" w:cs="Times New Roman"/>
        </w:rPr>
      </w:pPr>
      <w:bookmarkStart w:id="19" w:name="_Toc21872"/>
      <w:r>
        <w:rPr>
          <w:rFonts w:hint="default" w:ascii="Times New Roman" w:hAnsi="Times New Roman" w:cs="Times New Roman"/>
        </w:rPr>
        <w:t>4.</w:t>
      </w:r>
      <w:r>
        <w:rPr>
          <w:rFonts w:hint="default" w:ascii="Times New Roman" w:hAnsi="Times New Roman" w:cs="Times New Roman"/>
          <w:lang w:val="en-US" w:eastAsia="zh-CN"/>
        </w:rPr>
        <w:t>2</w:t>
      </w:r>
      <w:r>
        <w:rPr>
          <w:rFonts w:hint="default" w:ascii="Times New Roman" w:hAnsi="Times New Roman" w:cs="Times New Roman"/>
        </w:rPr>
        <w:t>环评结论</w:t>
      </w:r>
      <w:bookmarkEnd w:id="17"/>
      <w:bookmarkEnd w:id="19"/>
    </w:p>
    <w:p>
      <w:pPr>
        <w:spacing w:line="360" w:lineRule="auto"/>
        <w:ind w:firstLine="480" w:firstLineChars="200"/>
        <w:rPr>
          <w:rFonts w:hint="default" w:ascii="Times New Roman" w:hAnsi="Times New Roman" w:cs="Times New Roman"/>
          <w:sz w:val="24"/>
          <w:szCs w:val="24"/>
        </w:rPr>
      </w:pPr>
      <w:bookmarkStart w:id="20" w:name="_Toc2690"/>
      <w:r>
        <w:rPr>
          <w:rFonts w:hint="default" w:ascii="Times New Roman" w:hAnsi="Times New Roman" w:cs="Times New Roman"/>
          <w:sz w:val="24"/>
          <w:szCs w:val="24"/>
        </w:rPr>
        <w:t>杭州天川环保科技有限公司《杭州名井精密机械有限公司新建项目环境影响报告表》的主要结论如下：</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杭州名井精密机械有限公司新建项目符合建设项目审批原则（生态环境功能区规划原则，项目污染物达标排放原则，总量控制指标原则，环境功能区原则，主体功能区规划、土地利用总体规划、城乡规划原则和产业政策原则），建设单位要认真落实各项污染治理措施，切实做好“三同时”及日常环保管理工作。本项目生产过程中产生的污染物在采取有效的“三废”治理措施治理之后，不会改变外界环境现有环境功能。因此，在各项环保措施真正落实的基础上，就环保角度而言，本项目的建设是可行的。</w:t>
      </w:r>
    </w:p>
    <w:p>
      <w:pPr>
        <w:spacing w:line="360" w:lineRule="auto"/>
        <w:ind w:firstLine="480" w:firstLineChars="200"/>
        <w:rPr>
          <w:rFonts w:hint="default" w:ascii="Times New Roman" w:hAnsi="Times New Roman" w:cs="Times New Roman"/>
          <w:sz w:val="24"/>
          <w:szCs w:val="24"/>
          <w:lang w:eastAsia="zh-CN"/>
        </w:rPr>
      </w:pPr>
    </w:p>
    <w:p>
      <w:pPr>
        <w:spacing w:line="360" w:lineRule="auto"/>
        <w:ind w:firstLine="480" w:firstLineChars="200"/>
        <w:rPr>
          <w:rFonts w:hint="default" w:ascii="Times New Roman" w:hAnsi="Times New Roman" w:cs="Times New Roman"/>
          <w:sz w:val="24"/>
          <w:szCs w:val="24"/>
          <w:lang w:eastAsia="zh-CN"/>
        </w:rPr>
      </w:pPr>
    </w:p>
    <w:p>
      <w:pPr>
        <w:spacing w:line="360" w:lineRule="auto"/>
        <w:ind w:firstLine="480" w:firstLineChars="200"/>
        <w:rPr>
          <w:rFonts w:hint="default" w:ascii="Times New Roman" w:hAnsi="Times New Roman" w:cs="Times New Roman"/>
          <w:sz w:val="24"/>
          <w:szCs w:val="24"/>
          <w:lang w:eastAsia="zh-CN"/>
        </w:rPr>
      </w:pPr>
    </w:p>
    <w:p>
      <w:pPr>
        <w:spacing w:line="360" w:lineRule="auto"/>
        <w:ind w:firstLine="480" w:firstLineChars="200"/>
        <w:rPr>
          <w:rFonts w:hint="default" w:ascii="Times New Roman" w:hAnsi="Times New Roman" w:cs="Times New Roman"/>
          <w:sz w:val="24"/>
          <w:szCs w:val="24"/>
          <w:lang w:eastAsia="zh-CN"/>
        </w:rPr>
      </w:pPr>
    </w:p>
    <w:p>
      <w:pPr>
        <w:pStyle w:val="3"/>
        <w:spacing w:line="360" w:lineRule="auto"/>
        <w:rPr>
          <w:rFonts w:hint="default" w:ascii="Times New Roman" w:hAnsi="Times New Roman" w:cs="Times New Roman"/>
          <w:sz w:val="24"/>
          <w:szCs w:val="24"/>
        </w:rPr>
      </w:pPr>
      <w:bookmarkStart w:id="21" w:name="_Toc23198"/>
      <w:r>
        <w:rPr>
          <w:rFonts w:hint="default" w:ascii="Times New Roman" w:hAnsi="Times New Roman" w:cs="Times New Roman"/>
        </w:rPr>
        <w:t>4.</w:t>
      </w:r>
      <w:r>
        <w:rPr>
          <w:rFonts w:hint="default" w:ascii="Times New Roman" w:hAnsi="Times New Roman" w:cs="Times New Roman"/>
          <w:lang w:val="en-US" w:eastAsia="zh-CN"/>
        </w:rPr>
        <w:t>3</w:t>
      </w:r>
      <w:r>
        <w:rPr>
          <w:rFonts w:hint="default" w:ascii="Times New Roman" w:hAnsi="Times New Roman" w:cs="Times New Roman"/>
        </w:rPr>
        <w:t>环评批复意见</w:t>
      </w:r>
      <w:bookmarkEnd w:id="20"/>
      <w:bookmarkEnd w:id="21"/>
      <w:bookmarkStart w:id="22" w:name="_Toc26699"/>
      <w:bookmarkStart w:id="23" w:name="OLE_LINK32"/>
    </w:p>
    <w:p>
      <w:pPr>
        <w:numPr>
          <w:ilvl w:val="0"/>
          <w:numId w:val="0"/>
        </w:numPr>
        <w:spacing w:line="360" w:lineRule="auto"/>
        <w:ind w:firstLine="480" w:firstLineChars="200"/>
        <w:rPr>
          <w:rFonts w:hint="default" w:ascii="Times New Roman" w:hAnsi="Times New Roman" w:cs="Times New Roman"/>
          <w:sz w:val="24"/>
          <w:szCs w:val="24"/>
          <w:lang w:val="en-US" w:eastAsia="zh-CN"/>
        </w:rPr>
      </w:pPr>
      <w:bookmarkStart w:id="24" w:name="_Toc20528"/>
      <w:bookmarkStart w:id="25" w:name="_Toc21006"/>
      <w:bookmarkStart w:id="26" w:name="_Toc9701"/>
      <w:r>
        <w:rPr>
          <w:rFonts w:hint="default" w:ascii="Times New Roman" w:hAnsi="Times New Roman" w:eastAsia="宋体" w:cs="Times New Roman"/>
          <w:b w:val="0"/>
          <w:kern w:val="2"/>
          <w:sz w:val="24"/>
          <w:szCs w:val="24"/>
          <w:lang w:val="en-US" w:eastAsia="zh-CN" w:bidi="ar-SA"/>
        </w:rPr>
        <w:t>杭州</w:t>
      </w:r>
      <w:r>
        <w:rPr>
          <w:rFonts w:hint="default" w:ascii="Times New Roman" w:hAnsi="Times New Roman" w:cs="Times New Roman"/>
          <w:sz w:val="24"/>
          <w:szCs w:val="24"/>
          <w:lang w:val="en-US" w:eastAsia="zh-CN"/>
        </w:rPr>
        <w:t>市萧山区环境保护局（萧环建[2016]996号）对该项目的环评批复主要内容如下：</w:t>
      </w:r>
      <w:bookmarkEnd w:id="24"/>
      <w:bookmarkEnd w:id="25"/>
      <w:bookmarkEnd w:id="26"/>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1、</w:t>
      </w:r>
      <w:r>
        <w:rPr>
          <w:rFonts w:hint="eastAsia" w:ascii="Times New Roman" w:hAnsi="Times New Roman" w:cs="Times New Roman"/>
          <w:sz w:val="24"/>
          <w:szCs w:val="24"/>
          <w:lang w:val="en-US" w:eastAsia="zh-CN"/>
        </w:rPr>
        <w:t>实行雨污分流、清污分流，生活污水</w:t>
      </w:r>
      <w:r>
        <w:rPr>
          <w:rFonts w:hint="eastAsia" w:cs="Times New Roman"/>
          <w:sz w:val="24"/>
          <w:szCs w:val="24"/>
          <w:lang w:val="en-US" w:eastAsia="zh-CN"/>
        </w:rPr>
        <w:t>必须</w:t>
      </w:r>
      <w:r>
        <w:rPr>
          <w:rFonts w:hint="eastAsia" w:ascii="Times New Roman" w:hAnsi="Times New Roman" w:cs="Times New Roman"/>
          <w:sz w:val="24"/>
          <w:szCs w:val="24"/>
          <w:lang w:val="en-US" w:eastAsia="zh-CN"/>
        </w:rPr>
        <w:t>经处理达到《污水综合排放标准》（GB8978-1996）一级标准后方可排放</w:t>
      </w:r>
      <w:r>
        <w:rPr>
          <w:rFonts w:hint="eastAsia" w:cs="Times New Roman"/>
          <w:sz w:val="24"/>
          <w:szCs w:val="24"/>
          <w:lang w:val="en-US" w:eastAsia="zh-CN"/>
        </w:rPr>
        <w:t>；待具备纳管条件后则预处理达到《污水综合排放标准》（GB8978-1996）三级标准后纳入城市污水管网。</w:t>
      </w:r>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2、工艺粉尘须配套收集处理设施，经治理达到《大气污染物综合排放标准》（GB16297-1996）中二级标准后排放。</w:t>
      </w:r>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3、厂内高噪声设备必须合理布局，远离敏感点。采取隔声降噪减振措施，确保厂界噪声、振动达标。未经许可，夜间禁止作业。</w:t>
      </w:r>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4、固体废弃物必须分类妥善处置，禁止焚烧、丢弃，不得产生二次污染，危险废物（废切削液、废机油）必须委托有资质单位进行无害化处理。</w:t>
      </w:r>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5、本项目只进行机械加工，未经许可，不得涉及表面处理及热处理工艺。</w:t>
      </w:r>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6、建设项目的性质、规模、地点或者采用的生产工艺等发生重大变化的，应重新报批。</w:t>
      </w:r>
    </w:p>
    <w:p>
      <w:pPr>
        <w:numPr>
          <w:ilvl w:val="0"/>
          <w:numId w:val="0"/>
        </w:numPr>
        <w:spacing w:line="360" w:lineRule="auto"/>
        <w:ind w:firstLine="480" w:firstLineChars="200"/>
        <w:rPr>
          <w:rFonts w:hint="eastAsia" w:cs="Times New Roman"/>
          <w:sz w:val="24"/>
          <w:szCs w:val="24"/>
          <w:lang w:val="en-US" w:eastAsia="zh-CN"/>
        </w:rPr>
      </w:pPr>
      <w:r>
        <w:rPr>
          <w:rFonts w:hint="eastAsia" w:cs="Times New Roman"/>
          <w:sz w:val="24"/>
          <w:szCs w:val="24"/>
          <w:lang w:val="en-US" w:eastAsia="zh-CN"/>
        </w:rPr>
        <w:t>7、项目竣工之日起三个月内必须申报环保“三同时”验收，验收合格后方可投入正式生产。</w:t>
      </w:r>
    </w:p>
    <w:p>
      <w:pPr>
        <w:numPr>
          <w:ilvl w:val="0"/>
          <w:numId w:val="0"/>
        </w:numPr>
        <w:spacing w:line="360" w:lineRule="auto"/>
        <w:ind w:firstLine="480" w:firstLineChars="200"/>
        <w:rPr>
          <w:rFonts w:hint="eastAsia" w:cs="Times New Roman"/>
          <w:sz w:val="24"/>
          <w:szCs w:val="24"/>
          <w:lang w:val="en-US" w:eastAsia="zh-CN"/>
        </w:rPr>
      </w:pPr>
    </w:p>
    <w:p>
      <w:pPr>
        <w:numPr>
          <w:ilvl w:val="0"/>
          <w:numId w:val="0"/>
        </w:numPr>
        <w:spacing w:line="360" w:lineRule="auto"/>
        <w:ind w:firstLine="480" w:firstLineChars="200"/>
        <w:rPr>
          <w:rFonts w:hint="default" w:cs="Times New Roman"/>
          <w:sz w:val="24"/>
          <w:szCs w:val="24"/>
          <w:lang w:val="en-US" w:eastAsia="zh-CN"/>
        </w:rPr>
      </w:pPr>
    </w:p>
    <w:p>
      <w:pPr>
        <w:numPr>
          <w:ilvl w:val="0"/>
          <w:numId w:val="0"/>
        </w:numPr>
        <w:spacing w:line="360" w:lineRule="auto"/>
        <w:rPr>
          <w:rFonts w:hint="default" w:ascii="Times New Roman" w:hAnsi="Times New Roman" w:cs="Times New Roman"/>
          <w:sz w:val="24"/>
          <w:szCs w:val="24"/>
          <w:lang w:val="en-US" w:eastAsia="zh-CN"/>
        </w:rPr>
      </w:pPr>
    </w:p>
    <w:p>
      <w:pPr>
        <w:pStyle w:val="2"/>
        <w:spacing w:line="360" w:lineRule="auto"/>
        <w:rPr>
          <w:rFonts w:hint="default" w:ascii="Times New Roman" w:hAnsi="Times New Roman" w:cs="Times New Roman"/>
        </w:rPr>
      </w:pPr>
      <w:bookmarkStart w:id="27" w:name="_Toc17176"/>
      <w:r>
        <w:rPr>
          <w:rFonts w:hint="default" w:ascii="Times New Roman" w:hAnsi="Times New Roman" w:cs="Times New Roman"/>
        </w:rPr>
        <w:br w:type="page"/>
      </w:r>
    </w:p>
    <w:p>
      <w:pPr>
        <w:pStyle w:val="2"/>
        <w:spacing w:line="360" w:lineRule="auto"/>
        <w:rPr>
          <w:rFonts w:hint="default" w:ascii="Times New Roman" w:hAnsi="Times New Roman" w:cs="Times New Roman"/>
        </w:rPr>
      </w:pPr>
      <w:r>
        <w:rPr>
          <w:rFonts w:hint="default" w:ascii="Times New Roman" w:hAnsi="Times New Roman" w:cs="Times New Roman"/>
        </w:rPr>
        <w:t>第5章  评价标准</w:t>
      </w:r>
      <w:bookmarkEnd w:id="22"/>
      <w:bookmarkEnd w:id="27"/>
    </w:p>
    <w:bookmarkEnd w:id="23"/>
    <w:p>
      <w:pPr>
        <w:pStyle w:val="3"/>
        <w:spacing w:line="360" w:lineRule="auto"/>
        <w:rPr>
          <w:rFonts w:hint="default" w:ascii="Times New Roman" w:hAnsi="Times New Roman" w:cs="Times New Roman"/>
        </w:rPr>
      </w:pPr>
      <w:bookmarkStart w:id="28" w:name="_Toc1723"/>
      <w:bookmarkStart w:id="29" w:name="_Toc17199"/>
      <w:r>
        <w:rPr>
          <w:rFonts w:hint="default" w:ascii="Times New Roman" w:hAnsi="Times New Roman" w:cs="Times New Roman"/>
        </w:rPr>
        <w:t>5.1废水</w:t>
      </w:r>
      <w:bookmarkEnd w:id="28"/>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废水执行《污水综合排放标准》</w:t>
      </w:r>
      <w:r>
        <w:rPr>
          <w:rFonts w:hint="default" w:ascii="Times New Roman" w:hAnsi="Times New Roman" w:cs="Times New Roman"/>
          <w:sz w:val="24"/>
          <w:szCs w:val="24"/>
          <w:lang w:eastAsia="zh-CN"/>
        </w:rPr>
        <w:t>（</w:t>
      </w:r>
      <w:r>
        <w:rPr>
          <w:rFonts w:hint="default" w:ascii="Times New Roman" w:hAnsi="Times New Roman" w:cs="Times New Roman"/>
          <w:sz w:val="24"/>
          <w:szCs w:val="24"/>
        </w:rPr>
        <w:t>GB 8978-1996</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中的</w:t>
      </w:r>
      <w:r>
        <w:rPr>
          <w:rFonts w:hint="eastAsia" w:cs="Times New Roman"/>
          <w:sz w:val="24"/>
          <w:szCs w:val="24"/>
          <w:lang w:eastAsia="zh-CN"/>
        </w:rPr>
        <w:t>三</w:t>
      </w:r>
      <w:r>
        <w:rPr>
          <w:rFonts w:hint="default" w:ascii="Times New Roman" w:hAnsi="Times New Roman" w:cs="Times New Roman"/>
          <w:sz w:val="24"/>
          <w:szCs w:val="24"/>
        </w:rPr>
        <w:t>级排放标准的要求</w:t>
      </w:r>
      <w:r>
        <w:rPr>
          <w:rFonts w:hint="eastAsia" w:cs="Times New Roman"/>
          <w:sz w:val="24"/>
          <w:szCs w:val="24"/>
          <w:lang w:eastAsia="zh-CN"/>
        </w:rPr>
        <w:t>，其中氨氮执行《工业企业废水氮、磷污染物间接排放限值》（DB33/887-2013）</w:t>
      </w:r>
      <w:r>
        <w:rPr>
          <w:rFonts w:hint="default" w:ascii="Times New Roman" w:hAnsi="Times New Roman" w:cs="Times New Roman"/>
          <w:sz w:val="24"/>
          <w:szCs w:val="24"/>
          <w:lang w:eastAsia="zh-CN"/>
        </w:rPr>
        <w:t>。</w:t>
      </w:r>
      <w:r>
        <w:rPr>
          <w:rFonts w:hint="default" w:ascii="Times New Roman" w:hAnsi="Times New Roman" w:cs="Times New Roman"/>
          <w:sz w:val="24"/>
          <w:szCs w:val="24"/>
        </w:rPr>
        <w:t>详见表5-1。</w:t>
      </w:r>
    </w:p>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表5-1废水排放标准</w:t>
      </w:r>
    </w:p>
    <w:tbl>
      <w:tblPr>
        <w:tblStyle w:val="26"/>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0"/>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40" w:type="dxa"/>
            <w:vAlign w:val="center"/>
          </w:tcPr>
          <w:p>
            <w:pPr>
              <w:spacing w:line="276" w:lineRule="auto"/>
              <w:jc w:val="center"/>
              <w:rPr>
                <w:rFonts w:hint="default" w:ascii="Times New Roman" w:hAnsi="Times New Roman" w:cs="Times New Roman"/>
              </w:rPr>
            </w:pPr>
            <w:r>
              <w:rPr>
                <w:rFonts w:hint="default" w:ascii="Times New Roman" w:hAnsi="Times New Roman" w:cs="Times New Roman"/>
              </w:rPr>
              <w:t>检测项目</w:t>
            </w:r>
          </w:p>
        </w:tc>
        <w:tc>
          <w:tcPr>
            <w:tcW w:w="4440" w:type="dxa"/>
            <w:vAlign w:val="center"/>
          </w:tcPr>
          <w:p>
            <w:pPr>
              <w:spacing w:line="276" w:lineRule="auto"/>
              <w:jc w:val="center"/>
              <w:rPr>
                <w:rFonts w:hint="eastAsia" w:cs="Times New Roman"/>
                <w:lang w:val="en-US" w:eastAsia="zh-CN"/>
              </w:rPr>
            </w:pPr>
            <w:r>
              <w:rPr>
                <w:rFonts w:hint="default" w:ascii="Times New Roman" w:hAnsi="Times New Roman" w:cs="Times New Roman"/>
              </w:rPr>
              <w:t>限值</w:t>
            </w:r>
            <w:r>
              <w:rPr>
                <w:rFonts w:hint="eastAsia" w:cs="Times New Roman"/>
                <w:lang w:val="en-US" w:eastAsia="zh-CN"/>
              </w:rPr>
              <w:t xml:space="preserve">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40" w:type="dxa"/>
            <w:vAlign w:val="center"/>
          </w:tcPr>
          <w:p>
            <w:pPr>
              <w:spacing w:line="276" w:lineRule="auto"/>
              <w:jc w:val="center"/>
              <w:rPr>
                <w:rFonts w:hint="default" w:ascii="Times New Roman" w:hAnsi="Times New Roman" w:cs="Times New Roman"/>
              </w:rPr>
            </w:pPr>
            <w:r>
              <w:rPr>
                <w:rFonts w:hint="default" w:ascii="Times New Roman" w:hAnsi="Times New Roman" w:cs="Times New Roman"/>
                <w:szCs w:val="21"/>
              </w:rPr>
              <w:t>pH值</w:t>
            </w:r>
          </w:p>
        </w:tc>
        <w:tc>
          <w:tcPr>
            <w:tcW w:w="4440" w:type="dxa"/>
            <w:vAlign w:val="center"/>
          </w:tcPr>
          <w:p>
            <w:pPr>
              <w:spacing w:line="276" w:lineRule="auto"/>
              <w:jc w:val="center"/>
              <w:rPr>
                <w:rFonts w:hint="default" w:ascii="Times New Roman" w:hAnsi="Times New Roman" w:cs="Times New Roman"/>
              </w:rPr>
            </w:pPr>
            <w:r>
              <w:rPr>
                <w:rFonts w:hint="default" w:ascii="Times New Roman" w:hAnsi="Times New Roman" w:cs="Times New Roman"/>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40" w:type="dxa"/>
            <w:vAlign w:val="center"/>
          </w:tcPr>
          <w:p>
            <w:pPr>
              <w:spacing w:line="276" w:lineRule="auto"/>
              <w:jc w:val="center"/>
              <w:rPr>
                <w:rFonts w:hint="default" w:ascii="Times New Roman" w:hAnsi="Times New Roman" w:cs="Times New Roman"/>
              </w:rPr>
            </w:pPr>
            <w:r>
              <w:rPr>
                <w:rFonts w:hint="default" w:ascii="Times New Roman" w:hAnsi="Times New Roman" w:cs="Times New Roman"/>
                <w:snapToGrid w:val="0"/>
                <w:szCs w:val="21"/>
              </w:rPr>
              <w:t>悬浮物</w:t>
            </w:r>
          </w:p>
        </w:tc>
        <w:tc>
          <w:tcPr>
            <w:tcW w:w="4440" w:type="dxa"/>
            <w:vAlign w:val="center"/>
          </w:tcPr>
          <w:p>
            <w:pPr>
              <w:spacing w:line="276" w:lineRule="auto"/>
              <w:jc w:val="center"/>
              <w:rPr>
                <w:rFonts w:hint="eastAsia" w:ascii="Times New Roman" w:hAnsi="Times New Roman" w:eastAsia="宋体" w:cs="Times New Roman"/>
                <w:lang w:val="en-US" w:eastAsia="zh-CN"/>
              </w:rPr>
            </w:pPr>
            <w:r>
              <w:rPr>
                <w:rFonts w:hint="eastAsia" w:cs="Times New Roman"/>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40" w:type="dxa"/>
            <w:vAlign w:val="center"/>
          </w:tcPr>
          <w:p>
            <w:pPr>
              <w:spacing w:line="276" w:lineRule="auto"/>
              <w:jc w:val="center"/>
              <w:rPr>
                <w:rFonts w:hint="default" w:ascii="Times New Roman" w:hAnsi="Times New Roman" w:cs="Times New Roman"/>
              </w:rPr>
            </w:pPr>
            <w:r>
              <w:rPr>
                <w:rFonts w:hint="default" w:ascii="Times New Roman" w:hAnsi="Times New Roman" w:cs="Times New Roman"/>
                <w:snapToGrid w:val="0"/>
                <w:szCs w:val="21"/>
              </w:rPr>
              <w:t>氨氮</w:t>
            </w:r>
          </w:p>
        </w:tc>
        <w:tc>
          <w:tcPr>
            <w:tcW w:w="4440" w:type="dxa"/>
            <w:vAlign w:val="center"/>
          </w:tcPr>
          <w:p>
            <w:pPr>
              <w:spacing w:line="276" w:lineRule="auto"/>
              <w:jc w:val="center"/>
              <w:rPr>
                <w:rFonts w:hint="eastAsia" w:ascii="Times New Roman" w:hAnsi="Times New Roman" w:eastAsia="宋体" w:cs="Times New Roman"/>
                <w:lang w:val="en-US" w:eastAsia="zh-CN"/>
              </w:rPr>
            </w:pPr>
            <w:r>
              <w:rPr>
                <w:rFonts w:hint="eastAsia" w:cs="Times New Roman"/>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40" w:type="dxa"/>
            <w:vAlign w:val="center"/>
          </w:tcPr>
          <w:p>
            <w:pPr>
              <w:spacing w:line="276" w:lineRule="auto"/>
              <w:jc w:val="center"/>
              <w:rPr>
                <w:rFonts w:hint="default" w:ascii="Times New Roman" w:hAnsi="Times New Roman" w:cs="Times New Roman"/>
              </w:rPr>
            </w:pPr>
            <w:r>
              <w:rPr>
                <w:rFonts w:hint="default" w:ascii="Times New Roman" w:hAnsi="Times New Roman" w:cs="Times New Roman"/>
                <w:snapToGrid w:val="0"/>
                <w:szCs w:val="21"/>
              </w:rPr>
              <w:t>化学需氧量</w:t>
            </w:r>
          </w:p>
        </w:tc>
        <w:tc>
          <w:tcPr>
            <w:tcW w:w="4440" w:type="dxa"/>
            <w:vAlign w:val="center"/>
          </w:tcPr>
          <w:p>
            <w:pPr>
              <w:spacing w:line="276" w:lineRule="auto"/>
              <w:jc w:val="center"/>
              <w:rPr>
                <w:rFonts w:hint="eastAsia" w:ascii="Times New Roman" w:hAnsi="Times New Roman" w:eastAsia="宋体" w:cs="Times New Roman"/>
                <w:lang w:val="en-US" w:eastAsia="zh-CN"/>
              </w:rPr>
            </w:pPr>
            <w:r>
              <w:rPr>
                <w:rFonts w:hint="eastAsia" w:cs="Times New Roman"/>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440" w:type="dxa"/>
            <w:vAlign w:val="center"/>
          </w:tcPr>
          <w:p>
            <w:pPr>
              <w:spacing w:line="276" w:lineRule="auto"/>
              <w:jc w:val="center"/>
              <w:rPr>
                <w:rFonts w:hint="eastAsia" w:ascii="Times New Roman" w:hAnsi="Times New Roman" w:eastAsia="宋体" w:cs="Times New Roman"/>
                <w:snapToGrid w:val="0"/>
                <w:szCs w:val="21"/>
                <w:lang w:eastAsia="zh-CN"/>
              </w:rPr>
            </w:pPr>
            <w:r>
              <w:rPr>
                <w:rFonts w:hint="eastAsia" w:cs="Times New Roman"/>
                <w:snapToGrid w:val="0"/>
                <w:szCs w:val="21"/>
                <w:lang w:eastAsia="zh-CN"/>
              </w:rPr>
              <w:t>动植物油</w:t>
            </w:r>
          </w:p>
        </w:tc>
        <w:tc>
          <w:tcPr>
            <w:tcW w:w="4440" w:type="dxa"/>
            <w:vAlign w:val="center"/>
          </w:tcPr>
          <w:p>
            <w:pPr>
              <w:spacing w:line="276" w:lineRule="auto"/>
              <w:jc w:val="center"/>
              <w:rPr>
                <w:rFonts w:hint="eastAsia" w:ascii="Times New Roman" w:hAnsi="Times New Roman" w:eastAsia="宋体" w:cs="Times New Roman"/>
                <w:lang w:val="en-US" w:eastAsia="zh-CN"/>
              </w:rPr>
            </w:pPr>
            <w:r>
              <w:rPr>
                <w:rFonts w:hint="eastAsia" w:cs="Times New Roman"/>
                <w:lang w:val="en-US" w:eastAsia="zh-CN"/>
              </w:rPr>
              <w:t>100</w:t>
            </w:r>
          </w:p>
        </w:tc>
      </w:tr>
    </w:tbl>
    <w:p>
      <w:pPr>
        <w:pStyle w:val="3"/>
        <w:spacing w:line="360" w:lineRule="auto"/>
        <w:rPr>
          <w:rFonts w:hint="default" w:ascii="Times New Roman" w:hAnsi="Times New Roman" w:cs="Times New Roman"/>
        </w:rPr>
      </w:pPr>
      <w:bookmarkStart w:id="30" w:name="_Toc24878"/>
      <w:r>
        <w:rPr>
          <w:rFonts w:hint="default" w:ascii="Times New Roman" w:hAnsi="Times New Roman" w:cs="Times New Roman"/>
        </w:rPr>
        <w:t>5.2废气</w:t>
      </w:r>
      <w:bookmarkEnd w:id="29"/>
      <w:bookmarkEnd w:id="30"/>
    </w:p>
    <w:p>
      <w:pPr>
        <w:pStyle w:val="71"/>
        <w:ind w:firstLine="533"/>
        <w:rPr>
          <w:rFonts w:hint="default" w:ascii="Times New Roman" w:hAnsi="Times New Roman" w:cs="Times New Roman"/>
          <w:b/>
          <w:bCs/>
          <w:szCs w:val="21"/>
        </w:rPr>
      </w:pPr>
      <w:bookmarkStart w:id="31" w:name="_Toc13139"/>
      <w:r>
        <w:rPr>
          <w:rFonts w:hint="default" w:ascii="Times New Roman" w:hAnsi="Times New Roman" w:cs="Times New Roman"/>
          <w:color w:val="000000"/>
          <w:sz w:val="24"/>
          <w:szCs w:val="24"/>
        </w:rPr>
        <w:t>粉尘废气执行《大气污染物综合排放标准》（GB 16297-1996）</w:t>
      </w:r>
      <w:r>
        <w:rPr>
          <w:rFonts w:hint="eastAsia" w:cs="Times New Roman"/>
          <w:color w:val="000000"/>
          <w:sz w:val="24"/>
          <w:szCs w:val="24"/>
          <w:lang w:eastAsia="zh-CN"/>
        </w:rPr>
        <w:t>中“新污染源，二级标准”</w:t>
      </w:r>
      <w:r>
        <w:rPr>
          <w:rFonts w:hint="default" w:ascii="Times New Roman" w:hAnsi="Times New Roman" w:cs="Times New Roman"/>
          <w:color w:val="000000"/>
          <w:sz w:val="24"/>
          <w:szCs w:val="24"/>
        </w:rPr>
        <w:t>，</w:t>
      </w:r>
      <w:r>
        <w:rPr>
          <w:rFonts w:hint="default" w:ascii="Times New Roman" w:hAnsi="Times New Roman" w:cs="Times New Roman"/>
          <w:sz w:val="24"/>
          <w:szCs w:val="24"/>
        </w:rPr>
        <w:t>详见表5-2</w:t>
      </w:r>
      <w:r>
        <w:rPr>
          <w:rFonts w:hint="default" w:ascii="Times New Roman" w:hAnsi="Times New Roman" w:cs="Times New Roman"/>
          <w:sz w:val="24"/>
          <w:szCs w:val="24"/>
          <w:lang w:val="en-US" w:eastAsia="zh-CN"/>
        </w:rPr>
        <w:t>。</w:t>
      </w:r>
    </w:p>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表5-2废气排放标准</w:t>
      </w:r>
    </w:p>
    <w:tbl>
      <w:tblPr>
        <w:tblStyle w:val="2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931"/>
        <w:gridCol w:w="1720"/>
        <w:gridCol w:w="1146"/>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92" w:type="dxa"/>
            <w:vMerge w:val="restart"/>
            <w:vAlign w:val="center"/>
          </w:tcPr>
          <w:p>
            <w:pPr>
              <w:spacing w:line="360" w:lineRule="auto"/>
              <w:jc w:val="center"/>
              <w:rPr>
                <w:rFonts w:ascii="Times New Roman" w:hAnsi="Times New Roman"/>
              </w:rPr>
            </w:pPr>
            <w:r>
              <w:rPr>
                <w:rFonts w:hint="eastAsia" w:ascii="Times New Roman" w:hAnsi="Times New Roman"/>
              </w:rPr>
              <w:t>污染物名称</w:t>
            </w:r>
          </w:p>
        </w:tc>
        <w:tc>
          <w:tcPr>
            <w:tcW w:w="1931" w:type="dxa"/>
            <w:vMerge w:val="restart"/>
            <w:vAlign w:val="center"/>
          </w:tcPr>
          <w:p>
            <w:pPr>
              <w:spacing w:line="360" w:lineRule="auto"/>
              <w:ind w:firstLine="210" w:firstLineChars="100"/>
              <w:jc w:val="center"/>
              <w:rPr>
                <w:rFonts w:ascii="Times New Roman" w:hAnsi="Times New Roman"/>
              </w:rPr>
            </w:pPr>
            <w:r>
              <w:rPr>
                <w:rFonts w:hint="eastAsia" w:ascii="Times New Roman" w:hAnsi="Times New Roman"/>
              </w:rPr>
              <w:t>最高允许排放浓度mg/m</w:t>
            </w:r>
            <w:r>
              <w:rPr>
                <w:rFonts w:hint="eastAsia" w:ascii="Times New Roman" w:hAnsi="Times New Roman"/>
                <w:vertAlign w:val="superscript"/>
              </w:rPr>
              <w:t>3</w:t>
            </w:r>
          </w:p>
        </w:tc>
        <w:tc>
          <w:tcPr>
            <w:tcW w:w="2866" w:type="dxa"/>
            <w:gridSpan w:val="2"/>
            <w:vAlign w:val="center"/>
          </w:tcPr>
          <w:p>
            <w:pPr>
              <w:spacing w:line="480" w:lineRule="auto"/>
              <w:ind w:firstLine="210" w:firstLineChars="100"/>
              <w:jc w:val="center"/>
              <w:rPr>
                <w:rFonts w:ascii="Times New Roman" w:hAnsi="Times New Roman"/>
              </w:rPr>
            </w:pPr>
            <w:r>
              <w:rPr>
                <w:rFonts w:hint="eastAsia" w:ascii="Times New Roman" w:hAnsi="Times New Roman"/>
              </w:rPr>
              <w:t>最高允许排放速率kg/h</w:t>
            </w:r>
          </w:p>
        </w:tc>
        <w:tc>
          <w:tcPr>
            <w:tcW w:w="2231" w:type="dxa"/>
            <w:vMerge w:val="restart"/>
            <w:vAlign w:val="center"/>
          </w:tcPr>
          <w:p>
            <w:pPr>
              <w:spacing w:line="400" w:lineRule="exact"/>
              <w:ind w:firstLine="210" w:firstLineChars="100"/>
              <w:jc w:val="center"/>
              <w:rPr>
                <w:rFonts w:ascii="Times New Roman" w:hAnsi="Times New Roman"/>
              </w:rPr>
            </w:pPr>
            <w:r>
              <w:rPr>
                <w:rFonts w:hint="eastAsia" w:ascii="Times New Roman" w:hAnsi="Times New Roman"/>
              </w:rPr>
              <w:t>周界外浓度最高点mg/m</w:t>
            </w:r>
            <w:r>
              <w:rPr>
                <w:rFonts w:hint="eastAsia" w:ascii="Times New Roman" w:hAnsi="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92" w:type="dxa"/>
            <w:vMerge w:val="continue"/>
            <w:vAlign w:val="center"/>
          </w:tcPr>
          <w:p>
            <w:pPr>
              <w:spacing w:line="400" w:lineRule="exact"/>
              <w:ind w:firstLine="210" w:firstLineChars="100"/>
              <w:jc w:val="center"/>
              <w:rPr>
                <w:rFonts w:ascii="Times New Roman" w:hAnsi="Times New Roman"/>
              </w:rPr>
            </w:pPr>
          </w:p>
        </w:tc>
        <w:tc>
          <w:tcPr>
            <w:tcW w:w="1931" w:type="dxa"/>
            <w:vMerge w:val="continue"/>
            <w:vAlign w:val="center"/>
          </w:tcPr>
          <w:p>
            <w:pPr>
              <w:spacing w:line="400" w:lineRule="exact"/>
              <w:ind w:firstLine="210" w:firstLineChars="100"/>
              <w:jc w:val="center"/>
              <w:rPr>
                <w:rFonts w:ascii="Times New Roman" w:hAnsi="Times New Roman"/>
              </w:rPr>
            </w:pPr>
          </w:p>
        </w:tc>
        <w:tc>
          <w:tcPr>
            <w:tcW w:w="1720" w:type="dxa"/>
            <w:vAlign w:val="center"/>
          </w:tcPr>
          <w:p>
            <w:pPr>
              <w:spacing w:line="400" w:lineRule="exact"/>
              <w:ind w:firstLine="210" w:firstLineChars="100"/>
              <w:jc w:val="center"/>
              <w:rPr>
                <w:rFonts w:ascii="Times New Roman" w:hAnsi="Times New Roman"/>
              </w:rPr>
            </w:pPr>
            <w:r>
              <w:rPr>
                <w:rFonts w:hint="eastAsia" w:ascii="Times New Roman" w:hAnsi="Times New Roman"/>
              </w:rPr>
              <w:t>排气筒高度m</w:t>
            </w:r>
          </w:p>
        </w:tc>
        <w:tc>
          <w:tcPr>
            <w:tcW w:w="1146" w:type="dxa"/>
            <w:vAlign w:val="center"/>
          </w:tcPr>
          <w:p>
            <w:pPr>
              <w:spacing w:line="400" w:lineRule="exact"/>
              <w:ind w:firstLine="210" w:firstLineChars="100"/>
              <w:jc w:val="center"/>
              <w:rPr>
                <w:rFonts w:ascii="Times New Roman" w:hAnsi="Times New Roman"/>
              </w:rPr>
            </w:pPr>
            <w:r>
              <w:rPr>
                <w:rFonts w:hint="eastAsia" w:ascii="Times New Roman" w:hAnsi="Times New Roman"/>
              </w:rPr>
              <w:t>二级</w:t>
            </w:r>
          </w:p>
        </w:tc>
        <w:tc>
          <w:tcPr>
            <w:tcW w:w="2231" w:type="dxa"/>
            <w:vMerge w:val="continue"/>
            <w:vAlign w:val="center"/>
          </w:tcPr>
          <w:p>
            <w:pPr>
              <w:spacing w:line="400" w:lineRule="exact"/>
              <w:ind w:firstLine="210" w:firstLineChars="10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92" w:type="dxa"/>
            <w:vAlign w:val="center"/>
          </w:tcPr>
          <w:p>
            <w:pPr>
              <w:spacing w:line="480" w:lineRule="auto"/>
              <w:ind w:firstLine="210" w:firstLineChars="100"/>
              <w:jc w:val="center"/>
              <w:rPr>
                <w:rFonts w:ascii="Times New Roman" w:hAnsi="Times New Roman"/>
              </w:rPr>
            </w:pPr>
            <w:r>
              <w:rPr>
                <w:rFonts w:hint="eastAsia" w:ascii="Times New Roman" w:hAnsi="Times New Roman"/>
              </w:rPr>
              <w:t>颗粒物</w:t>
            </w:r>
          </w:p>
        </w:tc>
        <w:tc>
          <w:tcPr>
            <w:tcW w:w="1931" w:type="dxa"/>
            <w:vAlign w:val="center"/>
          </w:tcPr>
          <w:p>
            <w:pPr>
              <w:spacing w:line="480" w:lineRule="auto"/>
              <w:ind w:firstLine="210" w:firstLineChars="100"/>
              <w:jc w:val="center"/>
              <w:rPr>
                <w:rFonts w:ascii="Times New Roman" w:hAnsi="Times New Roman"/>
              </w:rPr>
            </w:pPr>
            <w:r>
              <w:rPr>
                <w:rFonts w:hint="eastAsia" w:ascii="Times New Roman" w:hAnsi="Times New Roman"/>
              </w:rPr>
              <w:t>120（其他）</w:t>
            </w:r>
          </w:p>
        </w:tc>
        <w:tc>
          <w:tcPr>
            <w:tcW w:w="1720" w:type="dxa"/>
            <w:vAlign w:val="center"/>
          </w:tcPr>
          <w:p>
            <w:pPr>
              <w:spacing w:line="480" w:lineRule="auto"/>
              <w:ind w:firstLine="210" w:firstLineChars="100"/>
              <w:jc w:val="center"/>
              <w:rPr>
                <w:rFonts w:ascii="Times New Roman" w:hAnsi="Times New Roman"/>
              </w:rPr>
            </w:pPr>
            <w:r>
              <w:rPr>
                <w:rFonts w:hint="eastAsia" w:ascii="Times New Roman" w:hAnsi="Times New Roman"/>
              </w:rPr>
              <w:t>15</w:t>
            </w:r>
          </w:p>
        </w:tc>
        <w:tc>
          <w:tcPr>
            <w:tcW w:w="1146" w:type="dxa"/>
            <w:vAlign w:val="center"/>
          </w:tcPr>
          <w:p>
            <w:pPr>
              <w:spacing w:line="480" w:lineRule="auto"/>
              <w:ind w:firstLine="210" w:firstLineChars="100"/>
              <w:jc w:val="center"/>
              <w:rPr>
                <w:rFonts w:ascii="Times New Roman" w:hAnsi="Times New Roman"/>
              </w:rPr>
            </w:pPr>
            <w:r>
              <w:rPr>
                <w:rFonts w:hint="eastAsia" w:ascii="Times New Roman" w:hAnsi="Times New Roman"/>
              </w:rPr>
              <w:t>3.5</w:t>
            </w:r>
          </w:p>
        </w:tc>
        <w:tc>
          <w:tcPr>
            <w:tcW w:w="2231" w:type="dxa"/>
            <w:vAlign w:val="center"/>
          </w:tcPr>
          <w:p>
            <w:pPr>
              <w:spacing w:line="480" w:lineRule="auto"/>
              <w:ind w:firstLine="210" w:firstLineChars="100"/>
              <w:jc w:val="center"/>
              <w:rPr>
                <w:rFonts w:ascii="Times New Roman" w:hAnsi="Times New Roman"/>
              </w:rPr>
            </w:pPr>
            <w:r>
              <w:rPr>
                <w:rFonts w:hint="eastAsia" w:ascii="Times New Roman" w:hAnsi="Times New Roman"/>
              </w:rPr>
              <w:t>1.0</w:t>
            </w:r>
          </w:p>
        </w:tc>
      </w:tr>
      <w:bookmarkEnd w:id="31"/>
    </w:tbl>
    <w:p>
      <w:pPr>
        <w:spacing w:line="360" w:lineRule="auto"/>
        <w:jc w:val="left"/>
        <w:rPr>
          <w:rFonts w:hint="default" w:ascii="Times New Roman" w:hAnsi="Times New Roman" w:cs="Times New Roman"/>
          <w:sz w:val="24"/>
          <w:szCs w:val="24"/>
        </w:rPr>
      </w:pPr>
      <w:bookmarkStart w:id="32" w:name="_Toc27649"/>
    </w:p>
    <w:p>
      <w:pPr>
        <w:pStyle w:val="2"/>
        <w:spacing w:line="360" w:lineRule="auto"/>
        <w:rPr>
          <w:rFonts w:hint="default" w:ascii="Times New Roman" w:hAnsi="Times New Roman" w:cs="Times New Roman"/>
        </w:rPr>
      </w:pPr>
      <w:bookmarkStart w:id="33" w:name="_Toc12911"/>
      <w:r>
        <w:rPr>
          <w:rFonts w:hint="default" w:ascii="Times New Roman" w:hAnsi="Times New Roman" w:cs="Times New Roman"/>
        </w:rPr>
        <w:br w:type="page"/>
      </w:r>
    </w:p>
    <w:p>
      <w:pPr>
        <w:pStyle w:val="2"/>
        <w:spacing w:line="360" w:lineRule="auto"/>
        <w:rPr>
          <w:rFonts w:hint="default" w:ascii="Times New Roman" w:hAnsi="Times New Roman" w:cs="Times New Roman"/>
        </w:rPr>
      </w:pPr>
      <w:r>
        <w:rPr>
          <w:rFonts w:hint="default" w:ascii="Times New Roman" w:hAnsi="Times New Roman" w:cs="Times New Roman"/>
        </w:rPr>
        <w:t>第6章  监测内容</w:t>
      </w:r>
      <w:bookmarkEnd w:id="32"/>
      <w:bookmarkEnd w:id="33"/>
    </w:p>
    <w:p>
      <w:pPr>
        <w:pStyle w:val="3"/>
        <w:spacing w:line="360" w:lineRule="auto"/>
        <w:rPr>
          <w:rFonts w:hint="default" w:ascii="Times New Roman" w:hAnsi="Times New Roman" w:cs="Times New Roman"/>
        </w:rPr>
      </w:pPr>
      <w:bookmarkStart w:id="34" w:name="_Toc27342"/>
      <w:bookmarkStart w:id="35" w:name="_Toc23187"/>
      <w:r>
        <w:rPr>
          <w:rFonts w:hint="default" w:ascii="Times New Roman" w:hAnsi="Times New Roman" w:cs="Times New Roman"/>
        </w:rPr>
        <w:t>6.1验收监测期间工况说明</w:t>
      </w:r>
      <w:bookmarkEnd w:id="34"/>
      <w:bookmarkEnd w:id="35"/>
    </w:p>
    <w:p>
      <w:pPr>
        <w:pStyle w:val="47"/>
        <w:jc w:val="left"/>
        <w:rPr>
          <w:rFonts w:hint="default" w:ascii="Times New Roman" w:hAnsi="Times New Roman" w:cs="Times New Roman"/>
        </w:rPr>
      </w:pPr>
      <w:r>
        <w:rPr>
          <w:rFonts w:hint="default" w:ascii="Times New Roman" w:hAnsi="Times New Roman" w:cs="Times New Roman"/>
        </w:rPr>
        <w:t>验收监测期间气象条件符合监测要求，监测期间生产负荷为</w:t>
      </w:r>
      <w:r>
        <w:rPr>
          <w:rFonts w:hint="default" w:ascii="Times New Roman" w:hAnsi="Times New Roman" w:cs="Times New Roman"/>
          <w:color w:val="auto"/>
          <w:lang w:val="en-US" w:eastAsia="zh-CN"/>
        </w:rPr>
        <w:t>85.5%和91.9%</w:t>
      </w:r>
      <w:r>
        <w:rPr>
          <w:rFonts w:hint="default" w:ascii="Times New Roman" w:hAnsi="Times New Roman" w:cs="Times New Roman"/>
          <w:color w:val="auto"/>
        </w:rPr>
        <w:t>，</w:t>
      </w:r>
      <w:r>
        <w:rPr>
          <w:rFonts w:hint="default" w:ascii="Times New Roman" w:hAnsi="Times New Roman" w:cs="Times New Roman"/>
        </w:rPr>
        <w:t>满足生产负荷≥75%设计产量的监测工况要求，因此监测数据可作为该项目竣工环境保护验收的依据，验收监测气象参数见表6-1，验收监测期间生产负荷见表6-</w:t>
      </w:r>
      <w:bookmarkStart w:id="36" w:name="_Toc26941"/>
      <w:r>
        <w:rPr>
          <w:rFonts w:hint="default" w:ascii="Times New Roman" w:hAnsi="Times New Roman" w:cs="Times New Roman"/>
        </w:rPr>
        <w:t>2。</w:t>
      </w:r>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表6-1 验收监测期间气象参数</w:t>
      </w:r>
    </w:p>
    <w:tbl>
      <w:tblPr>
        <w:tblStyle w:val="2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868"/>
        <w:gridCol w:w="1197"/>
        <w:gridCol w:w="1398"/>
        <w:gridCol w:w="139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26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日期</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风向</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风速 m/s</w:t>
            </w: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气温 ℃</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大气压kPa</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天气状况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eastAsia" w:ascii="Times New Roman" w:hAnsi="Times New Roman" w:cs="Times New Roman"/>
                <w:bCs/>
                <w:szCs w:val="21"/>
                <w:lang w:val="en-US" w:eastAsia="zh-CN"/>
              </w:rPr>
              <w:t>2018.05.18 10:35</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SE</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1.34</w:t>
            </w: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37.8</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100.36</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rPr>
            </w:pPr>
            <w:r>
              <w:rPr>
                <w:rFonts w:hint="eastAsia" w:ascii="Times New Roman" w:hAnsi="Times New Roman" w:cs="Times New Roman"/>
                <w:bCs/>
                <w:szCs w:val="21"/>
                <w:lang w:val="en-US" w:eastAsia="zh-CN"/>
              </w:rPr>
              <w:t>2018.05.19 10:30</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E</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0.96</w:t>
            </w: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28.4</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100.87</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多云</w:t>
            </w:r>
          </w:p>
        </w:tc>
      </w:tr>
    </w:tbl>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表6-2 验收监测期间生产负荷</w:t>
      </w:r>
    </w:p>
    <w:tbl>
      <w:tblPr>
        <w:tblStyle w:val="25"/>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432"/>
        <w:gridCol w:w="1431"/>
        <w:gridCol w:w="1430"/>
        <w:gridCol w:w="1628"/>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1410"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产品名称</w:t>
            </w:r>
          </w:p>
        </w:tc>
        <w:tc>
          <w:tcPr>
            <w:tcW w:w="143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环评年设计产量</w:t>
            </w:r>
          </w:p>
        </w:tc>
        <w:tc>
          <w:tcPr>
            <w:tcW w:w="1431"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lang w:eastAsia="zh-CN"/>
              </w:rPr>
              <w:t>实际</w:t>
            </w:r>
            <w:r>
              <w:rPr>
                <w:rFonts w:hint="default" w:ascii="Times New Roman" w:hAnsi="Times New Roman" w:cs="Times New Roman"/>
                <w:szCs w:val="21"/>
              </w:rPr>
              <w:t>年设计产量</w:t>
            </w:r>
          </w:p>
        </w:tc>
        <w:tc>
          <w:tcPr>
            <w:tcW w:w="1430" w:type="dxa"/>
            <w:vMerge w:val="restart"/>
            <w:vAlign w:val="center"/>
          </w:tcPr>
          <w:p>
            <w:pPr>
              <w:spacing w:line="276" w:lineRule="auto"/>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实际</w:t>
            </w:r>
            <w:r>
              <w:rPr>
                <w:rFonts w:hint="default" w:ascii="Times New Roman" w:hAnsi="Times New Roman" w:cs="Times New Roman"/>
                <w:szCs w:val="21"/>
              </w:rPr>
              <w:t>日设计产量</w:t>
            </w:r>
          </w:p>
        </w:tc>
        <w:tc>
          <w:tcPr>
            <w:tcW w:w="3257" w:type="dxa"/>
            <w:gridSpan w:val="2"/>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实际日产量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1410" w:type="dxa"/>
            <w:vMerge w:val="continue"/>
            <w:vAlign w:val="center"/>
          </w:tcPr>
          <w:p>
            <w:pPr>
              <w:spacing w:line="276" w:lineRule="auto"/>
              <w:jc w:val="center"/>
              <w:rPr>
                <w:rFonts w:hint="default" w:ascii="Times New Roman" w:hAnsi="Times New Roman" w:cs="Times New Roman"/>
                <w:szCs w:val="21"/>
              </w:rPr>
            </w:pPr>
          </w:p>
        </w:tc>
        <w:tc>
          <w:tcPr>
            <w:tcW w:w="1432" w:type="dxa"/>
            <w:vMerge w:val="continue"/>
            <w:vAlign w:val="center"/>
          </w:tcPr>
          <w:p>
            <w:pPr>
              <w:spacing w:line="276" w:lineRule="auto"/>
              <w:jc w:val="center"/>
              <w:rPr>
                <w:rFonts w:hint="default" w:ascii="Times New Roman" w:hAnsi="Times New Roman" w:cs="Times New Roman"/>
                <w:szCs w:val="21"/>
              </w:rPr>
            </w:pPr>
          </w:p>
        </w:tc>
        <w:tc>
          <w:tcPr>
            <w:tcW w:w="1431" w:type="dxa"/>
            <w:vMerge w:val="continue"/>
            <w:vAlign w:val="center"/>
          </w:tcPr>
          <w:p>
            <w:pPr>
              <w:spacing w:line="276" w:lineRule="auto"/>
              <w:jc w:val="center"/>
              <w:rPr>
                <w:rFonts w:hint="default" w:ascii="Times New Roman" w:hAnsi="Times New Roman" w:cs="Times New Roman"/>
                <w:szCs w:val="21"/>
              </w:rPr>
            </w:pPr>
          </w:p>
        </w:tc>
        <w:tc>
          <w:tcPr>
            <w:tcW w:w="1430" w:type="dxa"/>
            <w:vMerge w:val="continue"/>
            <w:vAlign w:val="center"/>
          </w:tcPr>
          <w:p>
            <w:pPr>
              <w:spacing w:line="276" w:lineRule="auto"/>
              <w:jc w:val="center"/>
              <w:rPr>
                <w:rFonts w:hint="default" w:ascii="Times New Roman" w:hAnsi="Times New Roman" w:cs="Times New Roman"/>
                <w:szCs w:val="21"/>
              </w:rPr>
            </w:pPr>
          </w:p>
        </w:tc>
        <w:tc>
          <w:tcPr>
            <w:tcW w:w="1628" w:type="dxa"/>
            <w:vAlign w:val="center"/>
          </w:tcPr>
          <w:p>
            <w:pPr>
              <w:spacing w:line="276" w:lineRule="auto"/>
              <w:jc w:val="center"/>
              <w:rPr>
                <w:rFonts w:hint="default" w:ascii="Times New Roman" w:hAnsi="Times New Roman" w:cs="Times New Roman"/>
                <w:szCs w:val="21"/>
              </w:rPr>
            </w:pPr>
            <w:r>
              <w:rPr>
                <w:rFonts w:hint="eastAsia" w:cs="Times New Roman"/>
                <w:szCs w:val="21"/>
                <w:lang w:val="en-US" w:eastAsia="zh-CN"/>
              </w:rPr>
              <w:t>5</w:t>
            </w:r>
            <w:r>
              <w:rPr>
                <w:rFonts w:hint="default" w:ascii="Times New Roman" w:hAnsi="Times New Roman" w:cs="Times New Roman"/>
                <w:szCs w:val="21"/>
              </w:rPr>
              <w:t>月</w:t>
            </w:r>
            <w:r>
              <w:rPr>
                <w:rFonts w:hint="eastAsia" w:cs="Times New Roman"/>
                <w:szCs w:val="21"/>
                <w:lang w:val="en-US" w:eastAsia="zh-CN"/>
              </w:rPr>
              <w:t>18</w:t>
            </w:r>
            <w:r>
              <w:rPr>
                <w:rFonts w:hint="default" w:ascii="Times New Roman" w:hAnsi="Times New Roman" w:cs="Times New Roman"/>
                <w:szCs w:val="21"/>
              </w:rPr>
              <w:t>日</w:t>
            </w:r>
          </w:p>
        </w:tc>
        <w:tc>
          <w:tcPr>
            <w:tcW w:w="1629" w:type="dxa"/>
            <w:vAlign w:val="center"/>
          </w:tcPr>
          <w:p>
            <w:pPr>
              <w:spacing w:line="276" w:lineRule="auto"/>
              <w:jc w:val="center"/>
              <w:rPr>
                <w:rFonts w:hint="default" w:ascii="Times New Roman" w:hAnsi="Times New Roman" w:cs="Times New Roman"/>
                <w:szCs w:val="21"/>
              </w:rPr>
            </w:pPr>
            <w:r>
              <w:rPr>
                <w:rFonts w:hint="eastAsia" w:cs="Times New Roman"/>
                <w:szCs w:val="21"/>
                <w:lang w:val="en-US" w:eastAsia="zh-CN"/>
              </w:rPr>
              <w:t>5</w:t>
            </w:r>
            <w:r>
              <w:rPr>
                <w:rFonts w:hint="default" w:ascii="Times New Roman" w:hAnsi="Times New Roman" w:cs="Times New Roman"/>
                <w:szCs w:val="21"/>
              </w:rPr>
              <w:t>月</w:t>
            </w:r>
            <w:r>
              <w:rPr>
                <w:rFonts w:hint="eastAsia" w:cs="Times New Roman"/>
                <w:szCs w:val="21"/>
                <w:lang w:val="en-US" w:eastAsia="zh-CN"/>
              </w:rPr>
              <w:t>19</w:t>
            </w:r>
            <w:r>
              <w:rPr>
                <w:rFonts w:hint="default" w:ascii="Times New Roman" w:hAnsi="Times New Roman"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10" w:type="dxa"/>
            <w:vAlign w:val="center"/>
          </w:tcPr>
          <w:p>
            <w:pPr>
              <w:spacing w:line="276" w:lineRule="auto"/>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平面磨床</w:t>
            </w:r>
          </w:p>
        </w:tc>
        <w:tc>
          <w:tcPr>
            <w:tcW w:w="1432" w:type="dxa"/>
            <w:vAlign w:val="center"/>
          </w:tcPr>
          <w:p>
            <w:pPr>
              <w:spacing w:line="27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eastAsia="zh-CN"/>
              </w:rPr>
              <w:t>50台</w:t>
            </w:r>
          </w:p>
        </w:tc>
        <w:tc>
          <w:tcPr>
            <w:tcW w:w="1431" w:type="dxa"/>
            <w:vAlign w:val="center"/>
          </w:tcPr>
          <w:p>
            <w:pPr>
              <w:spacing w:line="276"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eastAsia="zh-CN"/>
              </w:rPr>
              <w:t>50台</w:t>
            </w:r>
          </w:p>
        </w:tc>
        <w:tc>
          <w:tcPr>
            <w:tcW w:w="1430" w:type="dxa"/>
            <w:vAlign w:val="center"/>
          </w:tcPr>
          <w:p>
            <w:pPr>
              <w:spacing w:line="276"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0.17</w:t>
            </w:r>
            <w:r>
              <w:rPr>
                <w:rFonts w:hint="default" w:ascii="Times New Roman" w:hAnsi="Times New Roman" w:cs="Times New Roman"/>
                <w:szCs w:val="21"/>
                <w:lang w:eastAsia="zh-CN"/>
              </w:rPr>
              <w:t>台</w:t>
            </w:r>
          </w:p>
        </w:tc>
        <w:tc>
          <w:tcPr>
            <w:tcW w:w="1628" w:type="dxa"/>
            <w:vAlign w:val="center"/>
          </w:tcPr>
          <w:p>
            <w:pPr>
              <w:spacing w:line="276"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0.15</w:t>
            </w:r>
            <w:r>
              <w:rPr>
                <w:rFonts w:hint="default" w:ascii="Times New Roman" w:hAnsi="Times New Roman" w:cs="Times New Roman"/>
                <w:szCs w:val="21"/>
                <w:lang w:eastAsia="zh-CN"/>
              </w:rPr>
              <w:t>台</w:t>
            </w:r>
          </w:p>
        </w:tc>
        <w:tc>
          <w:tcPr>
            <w:tcW w:w="1629" w:type="dxa"/>
            <w:vAlign w:val="center"/>
          </w:tcPr>
          <w:p>
            <w:pPr>
              <w:spacing w:line="276"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0.15</w:t>
            </w:r>
            <w:r>
              <w:rPr>
                <w:rFonts w:hint="default" w:ascii="Times New Roman" w:hAnsi="Times New Roman" w:cs="Times New Roman"/>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10" w:type="dxa"/>
            <w:vAlign w:val="center"/>
          </w:tcPr>
          <w:p>
            <w:pPr>
              <w:spacing w:line="276" w:lineRule="auto"/>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机械设备</w:t>
            </w:r>
          </w:p>
        </w:tc>
        <w:tc>
          <w:tcPr>
            <w:tcW w:w="1432" w:type="dxa"/>
            <w:vAlign w:val="center"/>
          </w:tcPr>
          <w:p>
            <w:pPr>
              <w:spacing w:line="27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eastAsia="zh-CN"/>
              </w:rPr>
              <w:t>30台</w:t>
            </w:r>
          </w:p>
        </w:tc>
        <w:tc>
          <w:tcPr>
            <w:tcW w:w="1431" w:type="dxa"/>
            <w:vAlign w:val="center"/>
          </w:tcPr>
          <w:p>
            <w:pPr>
              <w:spacing w:line="276"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eastAsia="zh-CN"/>
              </w:rPr>
              <w:t>30台</w:t>
            </w:r>
          </w:p>
        </w:tc>
        <w:tc>
          <w:tcPr>
            <w:tcW w:w="1430" w:type="dxa"/>
            <w:vAlign w:val="center"/>
          </w:tcPr>
          <w:p>
            <w:pPr>
              <w:spacing w:line="276"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0.1</w:t>
            </w:r>
            <w:r>
              <w:rPr>
                <w:rFonts w:hint="default" w:ascii="Times New Roman" w:hAnsi="Times New Roman" w:cs="Times New Roman"/>
                <w:szCs w:val="21"/>
                <w:lang w:eastAsia="zh-CN"/>
              </w:rPr>
              <w:t>台</w:t>
            </w:r>
          </w:p>
        </w:tc>
        <w:tc>
          <w:tcPr>
            <w:tcW w:w="1628" w:type="dxa"/>
            <w:vAlign w:val="center"/>
          </w:tcPr>
          <w:p>
            <w:pPr>
              <w:spacing w:line="276"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0.08</w:t>
            </w:r>
            <w:r>
              <w:rPr>
                <w:rFonts w:hint="default" w:ascii="Times New Roman" w:hAnsi="Times New Roman" w:cs="Times New Roman"/>
                <w:szCs w:val="21"/>
                <w:lang w:eastAsia="zh-CN"/>
              </w:rPr>
              <w:t>台</w:t>
            </w:r>
          </w:p>
        </w:tc>
        <w:tc>
          <w:tcPr>
            <w:tcW w:w="1629" w:type="dxa"/>
            <w:vAlign w:val="center"/>
          </w:tcPr>
          <w:p>
            <w:pPr>
              <w:spacing w:line="276"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0.08</w:t>
            </w:r>
            <w:r>
              <w:rPr>
                <w:rFonts w:hint="default" w:ascii="Times New Roman" w:hAnsi="Times New Roman" w:cs="Times New Roman"/>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10" w:type="dxa"/>
            <w:vAlign w:val="center"/>
          </w:tcPr>
          <w:p>
            <w:pPr>
              <w:spacing w:line="276" w:lineRule="auto"/>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五金机械配件</w:t>
            </w:r>
          </w:p>
        </w:tc>
        <w:tc>
          <w:tcPr>
            <w:tcW w:w="1432" w:type="dxa"/>
            <w:vAlign w:val="center"/>
          </w:tcPr>
          <w:p>
            <w:pPr>
              <w:spacing w:line="27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eastAsia="zh-CN"/>
              </w:rPr>
              <w:t>10吨</w:t>
            </w:r>
          </w:p>
        </w:tc>
        <w:tc>
          <w:tcPr>
            <w:tcW w:w="1431" w:type="dxa"/>
            <w:vAlign w:val="center"/>
          </w:tcPr>
          <w:p>
            <w:pPr>
              <w:spacing w:line="276"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eastAsia="zh-CN"/>
              </w:rPr>
              <w:t>10吨</w:t>
            </w:r>
          </w:p>
        </w:tc>
        <w:tc>
          <w:tcPr>
            <w:tcW w:w="1430" w:type="dxa"/>
            <w:vAlign w:val="center"/>
          </w:tcPr>
          <w:p>
            <w:pPr>
              <w:spacing w:line="276"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0.033</w:t>
            </w:r>
            <w:r>
              <w:rPr>
                <w:rFonts w:hint="default" w:ascii="Times New Roman" w:hAnsi="Times New Roman" w:cs="Times New Roman"/>
                <w:szCs w:val="21"/>
                <w:lang w:eastAsia="zh-CN"/>
              </w:rPr>
              <w:t>吨</w:t>
            </w:r>
          </w:p>
        </w:tc>
        <w:tc>
          <w:tcPr>
            <w:tcW w:w="1628" w:type="dxa"/>
            <w:vAlign w:val="center"/>
          </w:tcPr>
          <w:p>
            <w:pPr>
              <w:spacing w:line="276"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0.03</w:t>
            </w:r>
            <w:r>
              <w:rPr>
                <w:rFonts w:hint="default" w:ascii="Times New Roman" w:hAnsi="Times New Roman" w:cs="Times New Roman"/>
                <w:szCs w:val="21"/>
                <w:lang w:eastAsia="zh-CN"/>
              </w:rPr>
              <w:t>吨</w:t>
            </w:r>
          </w:p>
        </w:tc>
        <w:tc>
          <w:tcPr>
            <w:tcW w:w="1629" w:type="dxa"/>
            <w:vAlign w:val="center"/>
          </w:tcPr>
          <w:p>
            <w:pPr>
              <w:spacing w:line="276"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0.03</w:t>
            </w:r>
            <w:r>
              <w:rPr>
                <w:rFonts w:hint="default" w:ascii="Times New Roman" w:hAnsi="Times New Roman" w:cs="Times New Roman"/>
                <w:szCs w:val="21"/>
                <w:lang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703" w:type="dxa"/>
            <w:gridSpan w:val="4"/>
            <w:vAlign w:val="center"/>
          </w:tcPr>
          <w:p>
            <w:pPr>
              <w:pStyle w:val="47"/>
              <w:spacing w:line="276" w:lineRule="auto"/>
              <w:ind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生产负荷</w:t>
            </w:r>
          </w:p>
        </w:tc>
        <w:tc>
          <w:tcPr>
            <w:tcW w:w="1628" w:type="dxa"/>
            <w:vAlign w:val="center"/>
          </w:tcPr>
          <w:p>
            <w:pPr>
              <w:pStyle w:val="47"/>
              <w:spacing w:line="276" w:lineRule="auto"/>
              <w:ind w:firstLine="0" w:firstLineChars="0"/>
              <w:jc w:val="center"/>
              <w:rPr>
                <w:rFonts w:hint="default" w:ascii="Times New Roman" w:hAnsi="Times New Roman" w:cs="Times New Roman"/>
                <w:sz w:val="21"/>
                <w:szCs w:val="21"/>
                <w:lang w:val="en-US" w:eastAsia="zh-CN"/>
              </w:rPr>
            </w:pPr>
            <w:r>
              <w:rPr>
                <w:rFonts w:hint="eastAsia" w:cs="Times New Roman"/>
                <w:sz w:val="21"/>
                <w:szCs w:val="21"/>
                <w:lang w:val="en-US" w:eastAsia="zh-CN"/>
              </w:rPr>
              <w:t>80~91%</w:t>
            </w:r>
          </w:p>
        </w:tc>
        <w:tc>
          <w:tcPr>
            <w:tcW w:w="1629" w:type="dxa"/>
            <w:vAlign w:val="center"/>
          </w:tcPr>
          <w:p>
            <w:pPr>
              <w:pStyle w:val="47"/>
              <w:spacing w:line="276" w:lineRule="auto"/>
              <w:ind w:firstLine="0" w:firstLineChars="0"/>
              <w:jc w:val="center"/>
              <w:rPr>
                <w:rFonts w:hint="default" w:ascii="Times New Roman" w:hAnsi="Times New Roman" w:cs="Times New Roman"/>
                <w:sz w:val="21"/>
                <w:szCs w:val="21"/>
                <w:lang w:val="en-US" w:eastAsia="zh-CN"/>
              </w:rPr>
            </w:pPr>
            <w:r>
              <w:rPr>
                <w:rFonts w:hint="eastAsia" w:cs="Times New Roman"/>
                <w:sz w:val="21"/>
                <w:szCs w:val="21"/>
                <w:lang w:val="en-US" w:eastAsia="zh-CN"/>
              </w:rPr>
              <w:t>80~91%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0" w:type="dxa"/>
            <w:gridSpan w:val="6"/>
            <w:vAlign w:val="center"/>
          </w:tcPr>
          <w:p>
            <w:pPr>
              <w:pStyle w:val="47"/>
              <w:spacing w:line="276" w:lineRule="auto"/>
              <w:ind w:firstLine="0" w:firstLineChars="0"/>
              <w:jc w:val="left"/>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本项目年工作300天</w:t>
            </w:r>
          </w:p>
        </w:tc>
      </w:tr>
    </w:tbl>
    <w:p>
      <w:pPr>
        <w:pStyle w:val="3"/>
        <w:spacing w:line="360" w:lineRule="auto"/>
        <w:rPr>
          <w:rFonts w:hint="default" w:ascii="Times New Roman" w:hAnsi="Times New Roman" w:cs="Times New Roman"/>
        </w:rPr>
      </w:pPr>
      <w:bookmarkStart w:id="37" w:name="_Toc4992"/>
      <w:r>
        <w:rPr>
          <w:rFonts w:hint="default" w:ascii="Times New Roman" w:hAnsi="Times New Roman" w:cs="Times New Roman"/>
        </w:rPr>
        <w:t>6.2验收监测内容和频次</w:t>
      </w:r>
      <w:bookmarkEnd w:id="36"/>
      <w:bookmarkEnd w:id="37"/>
    </w:p>
    <w:p>
      <w:pPr>
        <w:pStyle w:val="68"/>
        <w:rPr>
          <w:rFonts w:hint="default" w:ascii="Times New Roman" w:hAnsi="Times New Roman" w:cs="Times New Roman"/>
        </w:rPr>
      </w:pPr>
      <w:r>
        <w:rPr>
          <w:rFonts w:hint="default" w:ascii="Times New Roman" w:hAnsi="Times New Roman" w:cs="Times New Roman"/>
        </w:rPr>
        <w:t>6.2.1废水监测内容</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（1）废水监测项目及频次见表6-3。</w:t>
      </w:r>
    </w:p>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表6-3废水监测内容</w:t>
      </w:r>
    </w:p>
    <w:tbl>
      <w:tblPr>
        <w:tblStyle w:val="26"/>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855"/>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711"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监测点位</w:t>
            </w:r>
          </w:p>
        </w:tc>
        <w:tc>
          <w:tcPr>
            <w:tcW w:w="285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监测项目</w:t>
            </w:r>
          </w:p>
        </w:tc>
        <w:tc>
          <w:tcPr>
            <w:tcW w:w="4334"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711" w:type="dxa"/>
            <w:vAlign w:val="center"/>
          </w:tcPr>
          <w:p>
            <w:pPr>
              <w:spacing w:line="276" w:lineRule="auto"/>
              <w:jc w:val="center"/>
              <w:rPr>
                <w:rFonts w:hint="default" w:ascii="Times New Roman" w:hAnsi="Times New Roman" w:eastAsia="宋体" w:cs="Times New Roman"/>
                <w:szCs w:val="21"/>
                <w:lang w:val="en-US" w:eastAsia="zh-CN"/>
              </w:rPr>
            </w:pPr>
            <w:r>
              <w:rPr>
                <w:rFonts w:hint="eastAsia" w:cs="Times New Roman"/>
                <w:szCs w:val="21"/>
                <w:lang w:val="en-US" w:eastAsia="zh-CN"/>
              </w:rPr>
              <w:t>废水总排口</w:t>
            </w:r>
            <w:r>
              <w:rPr>
                <w:rFonts w:hint="default" w:ascii="Times New Roman" w:hAnsi="Times New Roman" w:eastAsia="宋体" w:cs="Times New Roman"/>
                <w:szCs w:val="21"/>
                <w:lang w:val="en-US" w:eastAsia="zh-CN"/>
              </w:rPr>
              <w:t>★C</w:t>
            </w:r>
          </w:p>
        </w:tc>
        <w:tc>
          <w:tcPr>
            <w:tcW w:w="2855" w:type="dxa"/>
            <w:vAlign w:val="center"/>
          </w:tcPr>
          <w:p>
            <w:pPr>
              <w:spacing w:line="276" w:lineRule="auto"/>
              <w:jc w:val="center"/>
              <w:rPr>
                <w:rFonts w:hint="eastAsia" w:ascii="Times New Roman" w:hAnsi="Times New Roman" w:eastAsia="宋体" w:cs="Times New Roman"/>
                <w:szCs w:val="21"/>
                <w:lang w:eastAsia="zh-CN"/>
              </w:rPr>
            </w:pPr>
            <w:r>
              <w:rPr>
                <w:rFonts w:hint="default" w:ascii="Times New Roman" w:hAnsi="Times New Roman" w:cs="Times New Roman"/>
                <w:szCs w:val="21"/>
              </w:rPr>
              <w:t>pH值、悬浮物、氨氮、化学需氧量</w:t>
            </w:r>
            <w:r>
              <w:rPr>
                <w:rFonts w:hint="eastAsia" w:cs="Times New Roman"/>
                <w:szCs w:val="21"/>
                <w:lang w:eastAsia="zh-CN"/>
              </w:rPr>
              <w:t>、动植物油</w:t>
            </w:r>
          </w:p>
        </w:tc>
        <w:tc>
          <w:tcPr>
            <w:tcW w:w="4334"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201</w:t>
            </w:r>
            <w:r>
              <w:rPr>
                <w:rFonts w:hint="default" w:ascii="Times New Roman" w:hAnsi="Times New Roman" w:cs="Times New Roman"/>
                <w:szCs w:val="21"/>
                <w:lang w:val="en-US" w:eastAsia="zh-CN"/>
              </w:rPr>
              <w:t>8</w:t>
            </w:r>
            <w:r>
              <w:rPr>
                <w:rFonts w:hint="default" w:ascii="Times New Roman" w:hAnsi="Times New Roman" w:cs="Times New Roman"/>
                <w:szCs w:val="21"/>
              </w:rPr>
              <w:t>年</w:t>
            </w:r>
            <w:r>
              <w:rPr>
                <w:rFonts w:hint="eastAsia" w:cs="Times New Roman"/>
                <w:szCs w:val="21"/>
                <w:lang w:val="en-US" w:eastAsia="zh-CN"/>
              </w:rPr>
              <w:t>5</w:t>
            </w:r>
            <w:r>
              <w:rPr>
                <w:rFonts w:hint="default" w:ascii="Times New Roman" w:hAnsi="Times New Roman" w:cs="Times New Roman"/>
                <w:szCs w:val="21"/>
              </w:rPr>
              <w:t>月</w:t>
            </w:r>
            <w:r>
              <w:rPr>
                <w:rFonts w:hint="eastAsia" w:cs="Times New Roman"/>
                <w:szCs w:val="21"/>
                <w:lang w:val="en-US" w:eastAsia="zh-CN"/>
              </w:rPr>
              <w:t>18</w:t>
            </w:r>
            <w:r>
              <w:rPr>
                <w:rFonts w:hint="default" w:ascii="Times New Roman" w:hAnsi="Times New Roman" w:cs="Times New Roman"/>
                <w:szCs w:val="21"/>
              </w:rPr>
              <w:t>日、</w:t>
            </w:r>
            <w:r>
              <w:rPr>
                <w:rFonts w:hint="eastAsia" w:cs="Times New Roman"/>
                <w:szCs w:val="21"/>
                <w:lang w:val="en-US" w:eastAsia="zh-CN"/>
              </w:rPr>
              <w:t>5</w:t>
            </w:r>
            <w:r>
              <w:rPr>
                <w:rFonts w:hint="default" w:ascii="Times New Roman" w:hAnsi="Times New Roman" w:cs="Times New Roman"/>
                <w:szCs w:val="21"/>
              </w:rPr>
              <w:t>月</w:t>
            </w:r>
            <w:r>
              <w:rPr>
                <w:rFonts w:hint="eastAsia" w:cs="Times New Roman"/>
                <w:szCs w:val="21"/>
                <w:lang w:val="en-US" w:eastAsia="zh-CN"/>
              </w:rPr>
              <w:t>19</w:t>
            </w:r>
            <w:r>
              <w:rPr>
                <w:rFonts w:hint="default" w:ascii="Times New Roman" w:hAnsi="Times New Roman" w:cs="Times New Roman"/>
                <w:szCs w:val="21"/>
              </w:rPr>
              <w:t>日各采样</w:t>
            </w:r>
            <w:r>
              <w:rPr>
                <w:rFonts w:hint="default" w:ascii="Times New Roman" w:hAnsi="Times New Roman" w:cs="Times New Roman"/>
                <w:szCs w:val="21"/>
                <w:lang w:val="en-US" w:eastAsia="zh-CN"/>
              </w:rPr>
              <w:t>1</w:t>
            </w:r>
            <w:r>
              <w:rPr>
                <w:rFonts w:hint="default" w:ascii="Times New Roman" w:hAnsi="Times New Roman" w:cs="Times New Roman"/>
                <w:szCs w:val="21"/>
              </w:rPr>
              <w:t>个周期，每周期</w:t>
            </w:r>
            <w:r>
              <w:rPr>
                <w:rFonts w:hint="default" w:ascii="Times New Roman" w:hAnsi="Times New Roman" w:cs="Times New Roman"/>
                <w:szCs w:val="21"/>
                <w:lang w:val="en-US" w:eastAsia="zh-CN"/>
              </w:rPr>
              <w:t>4</w:t>
            </w:r>
            <w:r>
              <w:rPr>
                <w:rFonts w:hint="default" w:ascii="Times New Roman" w:hAnsi="Times New Roman" w:cs="Times New Roman"/>
                <w:szCs w:val="21"/>
              </w:rPr>
              <w:t>次</w:t>
            </w:r>
          </w:p>
        </w:tc>
      </w:tr>
    </w:tbl>
    <w:p>
      <w:pPr>
        <w:spacing w:line="360" w:lineRule="auto"/>
        <w:rPr>
          <w:rFonts w:hint="default" w:ascii="Times New Roman" w:hAnsi="Times New Roman" w:cs="Times New Roman"/>
          <w:sz w:val="24"/>
          <w:szCs w:val="24"/>
        </w:rPr>
      </w:pPr>
    </w:p>
    <w:p>
      <w:pPr>
        <w:numPr>
          <w:ilvl w:val="0"/>
          <w:numId w:val="2"/>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监测仪器：PHS-3 pH计（EQ-69）、722S分光光度计（EQ-40）、新型SSM-6多联过滤器（EQ-50）、KHCOD-100COD自动消解回流仪（EQ-53）</w:t>
      </w:r>
      <w:r>
        <w:rPr>
          <w:rFonts w:hint="eastAsia" w:cs="Times New Roman"/>
          <w:sz w:val="24"/>
          <w:szCs w:val="24"/>
          <w:lang w:eastAsia="zh-CN"/>
        </w:rPr>
        <w:t>、</w:t>
      </w:r>
      <w:r>
        <w:rPr>
          <w:rFonts w:hint="eastAsia" w:cs="Times New Roman"/>
          <w:sz w:val="24"/>
          <w:szCs w:val="24"/>
          <w:lang w:val="en-US" w:eastAsia="zh-CN"/>
        </w:rPr>
        <w:t>JLBG-125红外分光测油仪（EQ-72）</w:t>
      </w:r>
      <w:r>
        <w:rPr>
          <w:rFonts w:hint="default" w:ascii="Times New Roman" w:hAnsi="Times New Roman" w:cs="Times New Roman"/>
          <w:sz w:val="24"/>
          <w:szCs w:val="24"/>
          <w:lang w:val="en-US" w:eastAsia="zh-CN"/>
        </w:rPr>
        <w:t>。</w:t>
      </w:r>
    </w:p>
    <w:p>
      <w:pPr>
        <w:pStyle w:val="68"/>
        <w:rPr>
          <w:rFonts w:hint="default" w:ascii="Times New Roman" w:hAnsi="Times New Roman" w:cs="Times New Roman"/>
        </w:rPr>
      </w:pPr>
      <w:r>
        <w:rPr>
          <w:rFonts w:hint="default" w:ascii="Times New Roman" w:hAnsi="Times New Roman" w:cs="Times New Roman"/>
        </w:rPr>
        <w:t>6.2.2废气监测内容</w:t>
      </w:r>
    </w:p>
    <w:p>
      <w:pPr>
        <w:pStyle w:val="68"/>
        <w:numPr>
          <w:ilvl w:val="0"/>
          <w:numId w:val="3"/>
        </w:numPr>
        <w:ind w:firstLine="480" w:firstLineChars="200"/>
        <w:rPr>
          <w:rFonts w:hint="default" w:ascii="Times New Roman" w:hAnsi="Times New Roman" w:cs="Times New Roman"/>
          <w:b w:val="0"/>
          <w:sz w:val="24"/>
          <w:szCs w:val="24"/>
        </w:rPr>
      </w:pPr>
      <w:r>
        <w:rPr>
          <w:rFonts w:hint="default" w:ascii="Times New Roman" w:hAnsi="Times New Roman" w:cs="Times New Roman"/>
          <w:b w:val="0"/>
          <w:sz w:val="24"/>
          <w:szCs w:val="24"/>
        </w:rPr>
        <w:t>废气监测项目及频次见表6-4。</w:t>
      </w:r>
    </w:p>
    <w:p>
      <w:pPr>
        <w:pStyle w:val="6"/>
        <w:spacing w:line="360" w:lineRule="auto"/>
        <w:ind w:firstLine="0" w:firstLineChars="0"/>
        <w:jc w:val="center"/>
        <w:rPr>
          <w:rFonts w:hint="default" w:ascii="Times New Roman" w:hAnsi="Times New Roman" w:cs="Times New Roman"/>
          <w:b/>
          <w:szCs w:val="21"/>
        </w:rPr>
      </w:pPr>
      <w:r>
        <w:rPr>
          <w:rFonts w:hint="default" w:ascii="Times New Roman" w:hAnsi="Times New Roman" w:cs="Times New Roman"/>
          <w:b/>
          <w:szCs w:val="21"/>
        </w:rPr>
        <w:t>表6-4废气监测内容</w:t>
      </w:r>
    </w:p>
    <w:tbl>
      <w:tblPr>
        <w:tblStyle w:val="2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054"/>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456"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监测点位</w:t>
            </w:r>
          </w:p>
        </w:tc>
        <w:tc>
          <w:tcPr>
            <w:tcW w:w="2054"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监测项目</w:t>
            </w:r>
          </w:p>
        </w:tc>
        <w:tc>
          <w:tcPr>
            <w:tcW w:w="4430"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456" w:type="dxa"/>
            <w:vAlign w:val="center"/>
          </w:tcPr>
          <w:p>
            <w:pPr>
              <w:spacing w:line="276" w:lineRule="auto"/>
              <w:jc w:val="center"/>
              <w:rPr>
                <w:rFonts w:hint="eastAsia" w:ascii="宋体" w:hAnsi="宋体" w:eastAsia="宋体" w:cs="宋体"/>
                <w:bCs/>
                <w:szCs w:val="21"/>
                <w:lang w:eastAsia="zh-CN"/>
              </w:rPr>
            </w:pPr>
            <w:r>
              <w:rPr>
                <w:rFonts w:hint="eastAsia" w:ascii="宋体" w:hAnsi="宋体" w:eastAsia="宋体" w:cs="宋体"/>
                <w:bCs/>
                <w:szCs w:val="21"/>
                <w:lang w:eastAsia="zh-CN"/>
              </w:rPr>
              <w:t>厂界</w:t>
            </w:r>
            <w:r>
              <w:rPr>
                <w:rFonts w:hint="eastAsia" w:ascii="宋体" w:hAnsi="宋体" w:cs="宋体"/>
                <w:bCs/>
                <w:szCs w:val="21"/>
                <w:lang w:eastAsia="zh-CN"/>
              </w:rPr>
              <w:t>西</w:t>
            </w:r>
            <w:r>
              <w:rPr>
                <w:rFonts w:hint="eastAsia" w:ascii="宋体" w:hAnsi="宋体" w:eastAsia="宋体" w:cs="宋体"/>
                <w:bCs/>
                <w:szCs w:val="21"/>
                <w:lang w:eastAsia="zh-CN"/>
              </w:rPr>
              <w:t>无组织废气○</w:t>
            </w:r>
            <w:r>
              <w:rPr>
                <w:rFonts w:hint="eastAsia" w:ascii="宋体" w:hAnsi="宋体" w:eastAsia="宋体" w:cs="宋体"/>
                <w:bCs/>
                <w:szCs w:val="21"/>
                <w:lang w:val="en-US" w:eastAsia="zh-CN"/>
              </w:rPr>
              <w:t>A</w:t>
            </w:r>
          </w:p>
        </w:tc>
        <w:tc>
          <w:tcPr>
            <w:tcW w:w="2054" w:type="dxa"/>
            <w:vMerge w:val="restart"/>
            <w:vAlign w:val="center"/>
          </w:tcPr>
          <w:p>
            <w:pPr>
              <w:spacing w:line="276" w:lineRule="auto"/>
              <w:jc w:val="center"/>
              <w:rPr>
                <w:rFonts w:hint="eastAsia" w:ascii="Times New Roman" w:hAnsi="Times New Roman" w:eastAsia="宋体" w:cs="Times New Roman"/>
                <w:szCs w:val="21"/>
                <w:lang w:eastAsia="zh-CN"/>
              </w:rPr>
            </w:pPr>
            <w:r>
              <w:rPr>
                <w:rFonts w:hint="eastAsia" w:cs="Times New Roman"/>
                <w:szCs w:val="21"/>
                <w:lang w:eastAsia="zh-CN"/>
              </w:rPr>
              <w:t>颗粒物</w:t>
            </w:r>
          </w:p>
        </w:tc>
        <w:tc>
          <w:tcPr>
            <w:tcW w:w="4430"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201</w:t>
            </w:r>
            <w:r>
              <w:rPr>
                <w:rFonts w:hint="default" w:ascii="Times New Roman" w:hAnsi="Times New Roman" w:cs="Times New Roman"/>
                <w:szCs w:val="21"/>
                <w:lang w:val="en-US" w:eastAsia="zh-CN"/>
              </w:rPr>
              <w:t>8</w:t>
            </w:r>
            <w:r>
              <w:rPr>
                <w:rFonts w:hint="default" w:ascii="Times New Roman" w:hAnsi="Times New Roman" w:cs="Times New Roman"/>
                <w:szCs w:val="21"/>
              </w:rPr>
              <w:t>年</w:t>
            </w:r>
            <w:r>
              <w:rPr>
                <w:rFonts w:hint="eastAsia" w:cs="Times New Roman"/>
                <w:szCs w:val="21"/>
                <w:lang w:val="en-US" w:eastAsia="zh-CN"/>
              </w:rPr>
              <w:t>5</w:t>
            </w:r>
            <w:r>
              <w:rPr>
                <w:rFonts w:hint="default" w:ascii="Times New Roman" w:hAnsi="Times New Roman" w:cs="Times New Roman"/>
                <w:szCs w:val="21"/>
              </w:rPr>
              <w:t>月</w:t>
            </w:r>
            <w:r>
              <w:rPr>
                <w:rFonts w:hint="eastAsia" w:cs="Times New Roman"/>
                <w:szCs w:val="21"/>
                <w:lang w:val="en-US" w:eastAsia="zh-CN"/>
              </w:rPr>
              <w:t>18</w:t>
            </w:r>
            <w:r>
              <w:rPr>
                <w:rFonts w:hint="default" w:ascii="Times New Roman" w:hAnsi="Times New Roman" w:cs="Times New Roman"/>
                <w:szCs w:val="21"/>
              </w:rPr>
              <w:t>日、</w:t>
            </w:r>
            <w:r>
              <w:rPr>
                <w:rFonts w:hint="eastAsia" w:cs="Times New Roman"/>
                <w:szCs w:val="21"/>
                <w:lang w:val="en-US" w:eastAsia="zh-CN"/>
              </w:rPr>
              <w:t>5</w:t>
            </w:r>
            <w:r>
              <w:rPr>
                <w:rFonts w:hint="default" w:ascii="Times New Roman" w:hAnsi="Times New Roman" w:cs="Times New Roman"/>
                <w:szCs w:val="21"/>
              </w:rPr>
              <w:t>月</w:t>
            </w:r>
            <w:r>
              <w:rPr>
                <w:rFonts w:hint="eastAsia" w:cs="Times New Roman"/>
                <w:szCs w:val="21"/>
                <w:lang w:val="en-US" w:eastAsia="zh-CN"/>
              </w:rPr>
              <w:t>19</w:t>
            </w:r>
            <w:r>
              <w:rPr>
                <w:rFonts w:hint="default" w:ascii="Times New Roman" w:hAnsi="Times New Roman" w:cs="Times New Roman"/>
                <w:szCs w:val="21"/>
              </w:rPr>
              <w:t>日各采样</w:t>
            </w:r>
            <w:r>
              <w:rPr>
                <w:rFonts w:hint="default" w:ascii="Times New Roman" w:hAnsi="Times New Roman" w:cs="Times New Roman"/>
                <w:szCs w:val="21"/>
                <w:lang w:val="en-US" w:eastAsia="zh-CN"/>
              </w:rPr>
              <w:t>1</w:t>
            </w:r>
            <w:r>
              <w:rPr>
                <w:rFonts w:hint="default" w:ascii="Times New Roman" w:hAnsi="Times New Roman" w:cs="Times New Roman"/>
                <w:szCs w:val="21"/>
              </w:rPr>
              <w:t>个周期，每周期</w:t>
            </w:r>
            <w:r>
              <w:rPr>
                <w:rFonts w:hint="default" w:ascii="Times New Roman" w:hAnsi="Times New Roman" w:cs="Times New Roman"/>
                <w:szCs w:val="21"/>
                <w:lang w:val="en-US" w:eastAsia="zh-CN"/>
              </w:rPr>
              <w:t>3</w:t>
            </w:r>
            <w:r>
              <w:rPr>
                <w:rFonts w:hint="default" w:ascii="Times New Roman" w:hAnsi="Times New Roman" w:cs="Times New Roman"/>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456" w:type="dxa"/>
            <w:vAlign w:val="center"/>
          </w:tcPr>
          <w:p>
            <w:pPr>
              <w:spacing w:line="276" w:lineRule="auto"/>
              <w:jc w:val="center"/>
              <w:rPr>
                <w:rFonts w:hint="eastAsia" w:ascii="宋体" w:hAnsi="宋体" w:eastAsia="宋体" w:cs="宋体"/>
                <w:bCs/>
                <w:szCs w:val="21"/>
                <w:lang w:val="en-US" w:eastAsia="zh-CN"/>
              </w:rPr>
            </w:pPr>
            <w:r>
              <w:rPr>
                <w:rFonts w:hint="eastAsia" w:ascii="宋体" w:hAnsi="宋体" w:eastAsia="宋体" w:cs="宋体"/>
                <w:bCs/>
                <w:szCs w:val="21"/>
                <w:lang w:eastAsia="zh-CN"/>
              </w:rPr>
              <w:t>厂界</w:t>
            </w:r>
            <w:r>
              <w:rPr>
                <w:rFonts w:hint="eastAsia" w:ascii="宋体" w:hAnsi="宋体" w:cs="宋体"/>
                <w:bCs/>
                <w:szCs w:val="21"/>
                <w:lang w:eastAsia="zh-CN"/>
              </w:rPr>
              <w:t>北</w:t>
            </w:r>
            <w:r>
              <w:rPr>
                <w:rFonts w:hint="eastAsia" w:ascii="宋体" w:hAnsi="宋体" w:eastAsia="宋体" w:cs="宋体"/>
                <w:bCs/>
                <w:szCs w:val="21"/>
                <w:lang w:eastAsia="zh-CN"/>
              </w:rPr>
              <w:t>无组织废气○</w:t>
            </w:r>
            <w:r>
              <w:rPr>
                <w:rFonts w:hint="eastAsia" w:ascii="宋体" w:hAnsi="宋体" w:eastAsia="宋体" w:cs="宋体"/>
                <w:bCs/>
                <w:szCs w:val="21"/>
                <w:lang w:val="en-US" w:eastAsia="zh-CN"/>
              </w:rPr>
              <w:t>B</w:t>
            </w:r>
          </w:p>
        </w:tc>
        <w:tc>
          <w:tcPr>
            <w:tcW w:w="2054" w:type="dxa"/>
            <w:vMerge w:val="continue"/>
            <w:vAlign w:val="center"/>
          </w:tcPr>
          <w:p>
            <w:pPr>
              <w:spacing w:line="276" w:lineRule="auto"/>
              <w:jc w:val="center"/>
              <w:rPr>
                <w:rFonts w:hint="default" w:ascii="Times New Roman" w:hAnsi="Times New Roman" w:cs="Times New Roman"/>
                <w:bCs/>
                <w:szCs w:val="21"/>
                <w:lang w:eastAsia="zh-CN"/>
              </w:rPr>
            </w:pPr>
          </w:p>
        </w:tc>
        <w:tc>
          <w:tcPr>
            <w:tcW w:w="4430" w:type="dxa"/>
            <w:vMerge w:val="continue"/>
            <w:vAlign w:val="center"/>
          </w:tcPr>
          <w:p>
            <w:pPr>
              <w:spacing w:line="276" w:lineRule="auto"/>
              <w:jc w:val="center"/>
              <w:rPr>
                <w:rFonts w:hint="default" w:ascii="Times New Roman" w:hAnsi="Times New Roman" w:cs="Times New Roman"/>
                <w:bCs/>
                <w:szCs w:val="21"/>
                <w:lang w:eastAsia="zh-CN"/>
              </w:rPr>
            </w:pPr>
          </w:p>
        </w:tc>
      </w:tr>
      <w:bookmarkEnd w:id="2"/>
    </w:tbl>
    <w:p>
      <w:pPr>
        <w:pStyle w:val="47"/>
        <w:rPr>
          <w:rFonts w:hint="default" w:ascii="Times New Roman" w:hAnsi="Times New Roman" w:cs="Times New Roman"/>
          <w:b/>
          <w:sz w:val="21"/>
          <w:szCs w:val="21"/>
        </w:rPr>
      </w:pPr>
      <w:r>
        <w:rPr>
          <w:rFonts w:hint="default" w:ascii="Times New Roman" w:hAnsi="Times New Roman" w:cs="Times New Roman"/>
          <w:color w:val="auto"/>
          <w:szCs w:val="24"/>
        </w:rPr>
        <w:t>（</w:t>
      </w:r>
      <w:r>
        <w:rPr>
          <w:rFonts w:hint="eastAsia" w:cs="Times New Roman"/>
          <w:color w:val="auto"/>
          <w:szCs w:val="24"/>
          <w:lang w:val="en-US" w:eastAsia="zh-CN"/>
        </w:rPr>
        <w:t>2</w:t>
      </w:r>
      <w:r>
        <w:rPr>
          <w:rFonts w:hint="default" w:ascii="Times New Roman" w:hAnsi="Times New Roman" w:cs="Times New Roman"/>
          <w:color w:val="auto"/>
          <w:szCs w:val="24"/>
        </w:rPr>
        <w:t>）废气监测点位见</w:t>
      </w:r>
      <w:r>
        <w:rPr>
          <w:rFonts w:hint="default" w:ascii="Times New Roman" w:hAnsi="Times New Roman" w:cs="Times New Roman"/>
          <w:szCs w:val="24"/>
        </w:rPr>
        <w:t>图6-l。</w:t>
      </w:r>
    </w:p>
    <w:p>
      <w:pPr>
        <w:keepNext w:val="0"/>
        <w:keepLines w:val="0"/>
        <w:widowControl/>
        <w:suppressLineNumbers w:val="0"/>
        <w:jc w:val="center"/>
        <w:rPr>
          <w:rFonts w:hint="default" w:ascii="Times New Roman" w:hAnsi="Times New Roman" w:cs="Times New Roman"/>
          <w:b/>
          <w:sz w:val="21"/>
          <w:szCs w:val="21"/>
        </w:rPr>
      </w:pPr>
      <w:r>
        <w:drawing>
          <wp:inline distT="0" distB="0" distL="114300" distR="114300">
            <wp:extent cx="4728845" cy="4184650"/>
            <wp:effectExtent l="0" t="0" r="1460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728845" cy="4184650"/>
                    </a:xfrm>
                    <a:prstGeom prst="rect">
                      <a:avLst/>
                    </a:prstGeom>
                    <a:noFill/>
                    <a:ln w="9525">
                      <a:noFill/>
                    </a:ln>
                  </pic:spPr>
                </pic:pic>
              </a:graphicData>
            </a:graphic>
          </wp:inline>
        </w:drawing>
      </w:r>
    </w:p>
    <w:p>
      <w:pPr>
        <w:rPr>
          <w:rFonts w:hint="eastAsia" w:ascii="宋体" w:hAnsi="宋体" w:eastAsia="宋体" w:cs="宋体"/>
          <w:lang w:val="zh-CN" w:eastAsia="zh-CN"/>
        </w:rPr>
      </w:pPr>
      <w:r>
        <w:rPr>
          <w:rFonts w:hint="eastAsia" w:ascii="宋体" w:hAnsi="宋体" w:eastAsia="宋体" w:cs="宋体"/>
        </w:rPr>
        <w:t>注</w:t>
      </w:r>
      <w:r>
        <w:rPr>
          <w:rFonts w:hint="eastAsia" w:ascii="宋体" w:hAnsi="宋体" w:eastAsia="宋体" w:cs="宋体"/>
          <w:lang w:eastAsia="zh-CN"/>
        </w:rPr>
        <w:t>：</w:t>
      </w:r>
      <w:r>
        <w:rPr>
          <w:rFonts w:hint="eastAsia" w:ascii="宋体" w:hAnsi="宋体" w:eastAsia="宋体" w:cs="宋体"/>
          <w:lang w:val="zh-CN" w:eastAsia="zh-CN"/>
        </w:rPr>
        <w:t>○</w:t>
      </w:r>
      <w:r>
        <w:rPr>
          <w:rFonts w:hint="eastAsia" w:ascii="宋体" w:hAnsi="宋体" w:eastAsia="宋体" w:cs="宋体"/>
          <w:lang w:val="en-US" w:eastAsia="zh-CN"/>
        </w:rPr>
        <w:t>为无组织废气采样点，★为废水采样点。</w:t>
      </w:r>
    </w:p>
    <w:p>
      <w:pPr>
        <w:rPr>
          <w:rFonts w:hint="default" w:ascii="Times New Roman" w:hAnsi="Times New Roman" w:cs="Times New Roman"/>
        </w:rPr>
      </w:pPr>
    </w:p>
    <w:p>
      <w:pPr>
        <w:pStyle w:val="47"/>
        <w:ind w:firstLine="0" w:firstLineChars="0"/>
        <w:jc w:val="center"/>
        <w:rPr>
          <w:rFonts w:hint="default" w:ascii="Times New Roman" w:hAnsi="Times New Roman" w:cs="Times New Roman"/>
        </w:rPr>
      </w:pPr>
      <w:r>
        <w:rPr>
          <w:rFonts w:hint="default" w:ascii="Times New Roman" w:hAnsi="Times New Roman" w:cs="Times New Roman"/>
          <w:b/>
          <w:sz w:val="21"/>
          <w:szCs w:val="21"/>
        </w:rPr>
        <w:t>图6-1废气监测点位图</w:t>
      </w:r>
    </w:p>
    <w:p>
      <w:pPr>
        <w:pStyle w:val="3"/>
        <w:rPr>
          <w:rFonts w:hint="default" w:ascii="Times New Roman" w:hAnsi="Times New Roman" w:cs="Times New Roman"/>
        </w:rPr>
      </w:pPr>
      <w:bookmarkStart w:id="38" w:name="_Toc24937"/>
      <w:bookmarkStart w:id="39" w:name="_Toc29708"/>
      <w:r>
        <w:rPr>
          <w:rFonts w:hint="default" w:ascii="Times New Roman" w:hAnsi="Times New Roman" w:cs="Times New Roman"/>
        </w:rPr>
        <w:t>6.3验收监测结果和评价</w:t>
      </w:r>
      <w:bookmarkEnd w:id="38"/>
      <w:bookmarkEnd w:id="39"/>
    </w:p>
    <w:p>
      <w:pPr>
        <w:pStyle w:val="68"/>
        <w:rPr>
          <w:rFonts w:hint="default" w:ascii="Times New Roman" w:hAnsi="Times New Roman" w:cs="Times New Roman"/>
        </w:rPr>
      </w:pPr>
      <w:r>
        <w:rPr>
          <w:rFonts w:hint="default" w:ascii="Times New Roman" w:hAnsi="Times New Roman" w:cs="Times New Roman"/>
        </w:rPr>
        <w:t>6.3.1废水监测结果与评价</w:t>
      </w:r>
    </w:p>
    <w:p>
      <w:pPr>
        <w:pStyle w:val="76"/>
        <w:rPr>
          <w:rFonts w:hint="default" w:ascii="Times New Roman" w:hAnsi="Times New Roman" w:cs="Times New Roman"/>
          <w:sz w:val="24"/>
          <w:szCs w:val="24"/>
        </w:rPr>
      </w:pPr>
      <w:r>
        <w:rPr>
          <w:rFonts w:hint="default" w:ascii="Times New Roman" w:hAnsi="Times New Roman" w:cs="Times New Roman"/>
          <w:szCs w:val="24"/>
        </w:rPr>
        <w:t>6.3.</w:t>
      </w:r>
      <w:r>
        <w:rPr>
          <w:rFonts w:hint="eastAsia" w:ascii="Times New Roman" w:hAnsi="Times New Roman" w:cs="Times New Roman"/>
          <w:szCs w:val="24"/>
          <w:lang w:val="en-US" w:eastAsia="zh-CN"/>
        </w:rPr>
        <w:t>1</w:t>
      </w:r>
      <w:r>
        <w:rPr>
          <w:rFonts w:hint="default" w:ascii="Times New Roman" w:hAnsi="Times New Roman" w:cs="Times New Roman"/>
          <w:szCs w:val="24"/>
        </w:rPr>
        <w:t>.1废</w:t>
      </w:r>
      <w:r>
        <w:rPr>
          <w:rFonts w:hint="eastAsia" w:ascii="Times New Roman" w:hAnsi="Times New Roman" w:cs="Times New Roman"/>
          <w:szCs w:val="24"/>
          <w:lang w:eastAsia="zh-CN"/>
        </w:rPr>
        <w:t>水</w:t>
      </w:r>
      <w:r>
        <w:rPr>
          <w:rFonts w:hint="default" w:ascii="Times New Roman" w:hAnsi="Times New Roman" w:cs="Times New Roman"/>
          <w:szCs w:val="24"/>
        </w:rPr>
        <w:t>监测结果</w:t>
      </w:r>
    </w:p>
    <w:p>
      <w:pPr>
        <w:spacing w:line="360" w:lineRule="auto"/>
        <w:ind w:firstLine="480" w:firstLineChars="200"/>
        <w:rPr>
          <w:rFonts w:hint="default" w:ascii="Times New Roman" w:hAnsi="Times New Roman" w:cs="Times New Roman"/>
          <w:b/>
          <w:bCs/>
          <w:szCs w:val="21"/>
        </w:rPr>
      </w:pPr>
      <w:r>
        <w:rPr>
          <w:rFonts w:hint="default" w:ascii="Times New Roman" w:hAnsi="Times New Roman" w:cs="Times New Roman"/>
          <w:sz w:val="24"/>
          <w:szCs w:val="24"/>
        </w:rPr>
        <w:t>废水监测结果见表6-5。</w:t>
      </w:r>
    </w:p>
    <w:p>
      <w:pPr>
        <w:spacing w:line="360" w:lineRule="auto"/>
        <w:ind w:firstLine="422" w:firstLineChars="200"/>
        <w:jc w:val="center"/>
        <w:rPr>
          <w:rFonts w:hint="default" w:ascii="Times New Roman" w:hAnsi="Times New Roman" w:cs="Times New Roman"/>
          <w:b/>
          <w:bCs/>
          <w:szCs w:val="21"/>
        </w:rPr>
      </w:pPr>
      <w:r>
        <w:rPr>
          <w:rFonts w:hint="default" w:ascii="Times New Roman" w:hAnsi="Times New Roman" w:cs="Times New Roman"/>
          <w:b/>
          <w:bCs/>
          <w:szCs w:val="21"/>
        </w:rPr>
        <w:t>表6-5废水监测结果</w:t>
      </w:r>
    </w:p>
    <w:tbl>
      <w:tblPr>
        <w:tblStyle w:val="26"/>
        <w:tblW w:w="9620"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50"/>
        <w:gridCol w:w="705"/>
        <w:gridCol w:w="705"/>
        <w:gridCol w:w="705"/>
        <w:gridCol w:w="705"/>
        <w:gridCol w:w="3"/>
        <w:gridCol w:w="702"/>
        <w:gridCol w:w="705"/>
        <w:gridCol w:w="705"/>
        <w:gridCol w:w="710"/>
        <w:gridCol w:w="677"/>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trPr>
        <w:tc>
          <w:tcPr>
            <w:tcW w:w="89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采样点</w:t>
            </w:r>
          </w:p>
        </w:tc>
        <w:tc>
          <w:tcPr>
            <w:tcW w:w="1750"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检测项目</w:t>
            </w:r>
          </w:p>
        </w:tc>
        <w:tc>
          <w:tcPr>
            <w:tcW w:w="5645" w:type="dxa"/>
            <w:gridSpan w:val="9"/>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检测结果</w:t>
            </w:r>
          </w:p>
        </w:tc>
        <w:tc>
          <w:tcPr>
            <w:tcW w:w="677" w:type="dxa"/>
            <w:vMerge w:val="restart"/>
            <w:vAlign w:val="center"/>
          </w:tcPr>
          <w:p>
            <w:pPr>
              <w:spacing w:line="276" w:lineRule="auto"/>
              <w:jc w:val="center"/>
              <w:rPr>
                <w:rFonts w:hint="default" w:ascii="Times New Roman" w:hAnsi="Times New Roman" w:cs="Times New Roman"/>
                <w:bCs/>
                <w:szCs w:val="21"/>
              </w:rPr>
            </w:pPr>
            <w:r>
              <w:rPr>
                <w:rFonts w:hint="default" w:ascii="Times New Roman" w:hAnsi="Times New Roman" w:cs="Times New Roman"/>
                <w:bCs/>
                <w:szCs w:val="21"/>
              </w:rPr>
              <w:t>标准</w:t>
            </w:r>
          </w:p>
          <w:p>
            <w:pPr>
              <w:spacing w:line="276" w:lineRule="auto"/>
              <w:jc w:val="center"/>
              <w:rPr>
                <w:rFonts w:hint="default" w:ascii="Times New Roman" w:hAnsi="Times New Roman" w:cs="Times New Roman"/>
                <w:szCs w:val="21"/>
              </w:rPr>
            </w:pPr>
            <w:r>
              <w:rPr>
                <w:rFonts w:hint="default" w:ascii="Times New Roman" w:hAnsi="Times New Roman" w:cs="Times New Roman"/>
                <w:bCs/>
                <w:szCs w:val="21"/>
              </w:rPr>
              <w:t>限值</w:t>
            </w:r>
          </w:p>
        </w:tc>
        <w:tc>
          <w:tcPr>
            <w:tcW w:w="656" w:type="dxa"/>
            <w:vMerge w:val="restart"/>
            <w:vAlign w:val="center"/>
          </w:tcPr>
          <w:p>
            <w:pPr>
              <w:spacing w:line="276" w:lineRule="auto"/>
              <w:jc w:val="center"/>
              <w:rPr>
                <w:rFonts w:hint="default" w:ascii="Times New Roman" w:hAnsi="Times New Roman" w:cs="Times New Roman"/>
                <w:bCs/>
                <w:szCs w:val="21"/>
              </w:rPr>
            </w:pPr>
            <w:r>
              <w:rPr>
                <w:rFonts w:hint="default" w:ascii="Times New Roman" w:hAnsi="Times New Roman" w:cs="Times New Roman"/>
                <w:bCs/>
                <w:szCs w:val="21"/>
              </w:rPr>
              <w:t>达标</w:t>
            </w:r>
          </w:p>
          <w:p>
            <w:pPr>
              <w:spacing w:line="276" w:lineRule="auto"/>
              <w:jc w:val="center"/>
              <w:rPr>
                <w:rFonts w:hint="default" w:ascii="Times New Roman" w:hAnsi="Times New Roman" w:cs="Times New Roman"/>
                <w:szCs w:val="21"/>
              </w:rPr>
            </w:pPr>
            <w:r>
              <w:rPr>
                <w:rFonts w:hint="default" w:ascii="Times New Roman" w:hAnsi="Times New Roman" w:cs="Times New Roman"/>
                <w:bCs/>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trPr>
        <w:tc>
          <w:tcPr>
            <w:tcW w:w="892" w:type="dxa"/>
            <w:vMerge w:val="continue"/>
            <w:vAlign w:val="center"/>
          </w:tcPr>
          <w:p>
            <w:pPr>
              <w:widowControl/>
              <w:spacing w:line="276" w:lineRule="auto"/>
              <w:jc w:val="center"/>
              <w:rPr>
                <w:rFonts w:hint="default" w:ascii="Times New Roman" w:hAnsi="Times New Roman" w:cs="Times New Roman"/>
                <w:szCs w:val="21"/>
              </w:rPr>
            </w:pPr>
          </w:p>
        </w:tc>
        <w:tc>
          <w:tcPr>
            <w:tcW w:w="1750" w:type="dxa"/>
            <w:vMerge w:val="continue"/>
            <w:vAlign w:val="center"/>
          </w:tcPr>
          <w:p>
            <w:pPr>
              <w:widowControl/>
              <w:spacing w:line="276" w:lineRule="auto"/>
              <w:jc w:val="center"/>
              <w:rPr>
                <w:rFonts w:hint="default" w:ascii="Times New Roman" w:hAnsi="Times New Roman" w:cs="Times New Roman"/>
                <w:szCs w:val="21"/>
              </w:rPr>
            </w:pPr>
          </w:p>
        </w:tc>
        <w:tc>
          <w:tcPr>
            <w:tcW w:w="2823" w:type="dxa"/>
            <w:gridSpan w:val="5"/>
            <w:vAlign w:val="center"/>
          </w:tcPr>
          <w:p>
            <w:pPr>
              <w:spacing w:line="276" w:lineRule="auto"/>
              <w:jc w:val="center"/>
              <w:rPr>
                <w:rFonts w:hint="eastAsia" w:ascii="Times New Roman" w:hAnsi="Times New Roman" w:eastAsia="宋体" w:cs="Times New Roman"/>
                <w:szCs w:val="21"/>
                <w:lang w:val="en-US" w:eastAsia="zh-CN"/>
              </w:rPr>
            </w:pPr>
            <w:r>
              <w:rPr>
                <w:rFonts w:hint="eastAsia" w:cs="Times New Roman"/>
                <w:szCs w:val="21"/>
                <w:lang w:val="en-US" w:eastAsia="zh-CN"/>
              </w:rPr>
              <w:t>2018.05.18</w:t>
            </w:r>
          </w:p>
        </w:tc>
        <w:tc>
          <w:tcPr>
            <w:tcW w:w="2822" w:type="dxa"/>
            <w:gridSpan w:val="4"/>
            <w:vAlign w:val="center"/>
          </w:tcPr>
          <w:p>
            <w:pPr>
              <w:widowControl/>
              <w:spacing w:line="276" w:lineRule="auto"/>
              <w:jc w:val="center"/>
              <w:rPr>
                <w:rFonts w:hint="eastAsia" w:ascii="Times New Roman" w:hAnsi="Times New Roman" w:eastAsia="宋体" w:cs="Times New Roman"/>
                <w:szCs w:val="21"/>
                <w:lang w:val="en-US" w:eastAsia="zh-CN"/>
              </w:rPr>
            </w:pPr>
            <w:r>
              <w:rPr>
                <w:rFonts w:hint="eastAsia" w:cs="Times New Roman"/>
                <w:szCs w:val="21"/>
                <w:lang w:val="en-US" w:eastAsia="zh-CN"/>
              </w:rPr>
              <w:t>2018.05.19</w:t>
            </w:r>
          </w:p>
        </w:tc>
        <w:tc>
          <w:tcPr>
            <w:tcW w:w="677" w:type="dxa"/>
            <w:vMerge w:val="continue"/>
            <w:vAlign w:val="center"/>
          </w:tcPr>
          <w:p>
            <w:pPr>
              <w:widowControl/>
              <w:spacing w:line="276" w:lineRule="auto"/>
              <w:jc w:val="center"/>
              <w:rPr>
                <w:rFonts w:hint="default" w:ascii="Times New Roman" w:hAnsi="Times New Roman" w:cs="Times New Roman"/>
                <w:bCs/>
                <w:szCs w:val="21"/>
              </w:rPr>
            </w:pPr>
          </w:p>
        </w:tc>
        <w:tc>
          <w:tcPr>
            <w:tcW w:w="656" w:type="dxa"/>
            <w:vMerge w:val="continue"/>
            <w:vAlign w:val="center"/>
          </w:tcPr>
          <w:p>
            <w:pPr>
              <w:widowControl/>
              <w:spacing w:line="276" w:lineRule="auto"/>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trPr>
        <w:tc>
          <w:tcPr>
            <w:tcW w:w="892" w:type="dxa"/>
            <w:vMerge w:val="restart"/>
            <w:vAlign w:val="center"/>
          </w:tcPr>
          <w:p>
            <w:pPr>
              <w:widowControl/>
              <w:spacing w:line="276" w:lineRule="auto"/>
              <w:jc w:val="center"/>
              <w:rPr>
                <w:rFonts w:hint="default" w:ascii="Times New Roman" w:hAnsi="Times New Roman" w:eastAsia="宋体" w:cs="Times New Roman"/>
                <w:szCs w:val="21"/>
                <w:lang w:val="en-US" w:eastAsia="zh-CN"/>
              </w:rPr>
            </w:pPr>
            <w:r>
              <w:rPr>
                <w:rFonts w:hint="eastAsia" w:cs="Times New Roman"/>
                <w:szCs w:val="21"/>
                <w:lang w:val="en-US" w:eastAsia="zh-CN"/>
              </w:rPr>
              <w:t>废水总排口</w:t>
            </w:r>
            <w:r>
              <w:rPr>
                <w:rFonts w:hint="eastAsia" w:ascii="Times New Roman" w:hAnsi="Times New Roman" w:cs="Times New Roman"/>
                <w:szCs w:val="21"/>
                <w:lang w:val="en-US" w:eastAsia="zh-CN"/>
              </w:rPr>
              <w:t>C</w:t>
            </w:r>
          </w:p>
        </w:tc>
        <w:tc>
          <w:tcPr>
            <w:tcW w:w="1750" w:type="dxa"/>
            <w:vAlign w:val="center"/>
          </w:tcPr>
          <w:p>
            <w:pPr>
              <w:widowControl/>
              <w:spacing w:line="276" w:lineRule="auto"/>
              <w:jc w:val="center"/>
              <w:rPr>
                <w:rFonts w:hint="default" w:ascii="Times New Roman" w:hAnsi="Times New Roman" w:cs="Times New Roman"/>
                <w:szCs w:val="21"/>
                <w:lang w:eastAsia="zh-CN"/>
              </w:rPr>
            </w:pPr>
            <w:r>
              <w:rPr>
                <w:rFonts w:hint="eastAsia" w:ascii="Times New Roman" w:hAnsi="Times New Roman" w:cs="Times New Roman"/>
                <w:szCs w:val="21"/>
                <w:lang w:val="en-US" w:eastAsia="zh-CN"/>
              </w:rPr>
              <w:t>pH</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7.99</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7.84</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7.93</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8.05</w:t>
            </w:r>
          </w:p>
        </w:tc>
        <w:tc>
          <w:tcPr>
            <w:tcW w:w="705" w:type="dxa"/>
            <w:gridSpan w:val="2"/>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7.98</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8.03</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7.90</w:t>
            </w:r>
          </w:p>
        </w:tc>
        <w:tc>
          <w:tcPr>
            <w:tcW w:w="710"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7.94</w:t>
            </w:r>
          </w:p>
        </w:tc>
        <w:tc>
          <w:tcPr>
            <w:tcW w:w="677"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6~9</w:t>
            </w:r>
          </w:p>
        </w:tc>
        <w:tc>
          <w:tcPr>
            <w:tcW w:w="656" w:type="dxa"/>
            <w:vAlign w:val="center"/>
          </w:tcPr>
          <w:p>
            <w:pPr>
              <w:widowControl/>
              <w:spacing w:line="276"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trPr>
        <w:tc>
          <w:tcPr>
            <w:tcW w:w="892" w:type="dxa"/>
            <w:vMerge w:val="continue"/>
            <w:vAlign w:val="center"/>
          </w:tcPr>
          <w:p>
            <w:pPr>
              <w:widowControl/>
              <w:spacing w:line="276" w:lineRule="auto"/>
              <w:jc w:val="center"/>
              <w:rPr>
                <w:rFonts w:hint="eastAsia" w:ascii="Times New Roman" w:hAnsi="Times New Roman" w:cs="Times New Roman"/>
                <w:szCs w:val="21"/>
                <w:lang w:eastAsia="zh-CN"/>
              </w:rPr>
            </w:pPr>
          </w:p>
        </w:tc>
        <w:tc>
          <w:tcPr>
            <w:tcW w:w="1750" w:type="dxa"/>
            <w:vAlign w:val="center"/>
          </w:tcPr>
          <w:p>
            <w:pPr>
              <w:widowControl/>
              <w:spacing w:line="276"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化学需氧量</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119</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127</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113</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123</w:t>
            </w:r>
          </w:p>
        </w:tc>
        <w:tc>
          <w:tcPr>
            <w:tcW w:w="705" w:type="dxa"/>
            <w:gridSpan w:val="2"/>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121</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112</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131</w:t>
            </w:r>
          </w:p>
        </w:tc>
        <w:tc>
          <w:tcPr>
            <w:tcW w:w="710"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115</w:t>
            </w:r>
          </w:p>
        </w:tc>
        <w:tc>
          <w:tcPr>
            <w:tcW w:w="677"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500</w:t>
            </w:r>
          </w:p>
        </w:tc>
        <w:tc>
          <w:tcPr>
            <w:tcW w:w="656" w:type="dxa"/>
            <w:vAlign w:val="center"/>
          </w:tcPr>
          <w:p>
            <w:pPr>
              <w:widowControl/>
              <w:spacing w:line="276" w:lineRule="auto"/>
              <w:jc w:val="center"/>
              <w:rPr>
                <w:rFonts w:hint="eastAsia" w:ascii="Times New Roman" w:hAnsi="Times New Roman" w:cs="Times New Roman"/>
                <w:bCs/>
                <w:szCs w:val="21"/>
                <w:lang w:val="en-US" w:eastAsia="zh-CN"/>
              </w:rPr>
            </w:pPr>
            <w:r>
              <w:rPr>
                <w:rFonts w:hint="eastAsia" w:cs="Times New Roman"/>
                <w:bCs/>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trPr>
        <w:tc>
          <w:tcPr>
            <w:tcW w:w="892" w:type="dxa"/>
            <w:vMerge w:val="continue"/>
            <w:vAlign w:val="center"/>
          </w:tcPr>
          <w:p>
            <w:pPr>
              <w:widowControl/>
              <w:spacing w:line="276" w:lineRule="auto"/>
              <w:jc w:val="center"/>
              <w:rPr>
                <w:rFonts w:hint="default" w:ascii="Times New Roman" w:hAnsi="Times New Roman" w:cs="Times New Roman"/>
                <w:szCs w:val="21"/>
              </w:rPr>
            </w:pPr>
          </w:p>
        </w:tc>
        <w:tc>
          <w:tcPr>
            <w:tcW w:w="1750" w:type="dxa"/>
            <w:vAlign w:val="center"/>
          </w:tcPr>
          <w:p>
            <w:pPr>
              <w:widowControl/>
              <w:spacing w:line="276" w:lineRule="auto"/>
              <w:jc w:val="center"/>
              <w:rPr>
                <w:rFonts w:hint="default" w:ascii="Times New Roman" w:hAnsi="Times New Roman" w:cs="Times New Roman"/>
                <w:szCs w:val="21"/>
                <w:lang w:eastAsia="zh-CN"/>
              </w:rPr>
            </w:pPr>
            <w:r>
              <w:rPr>
                <w:rFonts w:hint="eastAsia" w:ascii="Times New Roman" w:hAnsi="Times New Roman" w:cs="Times New Roman"/>
                <w:szCs w:val="21"/>
                <w:lang w:val="en-US" w:eastAsia="zh-CN"/>
              </w:rPr>
              <w:t>氨氮</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0.704</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0.783</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0.656</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0.747</w:t>
            </w:r>
          </w:p>
        </w:tc>
        <w:tc>
          <w:tcPr>
            <w:tcW w:w="705" w:type="dxa"/>
            <w:gridSpan w:val="2"/>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0.801</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0.625</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0.650</w:t>
            </w:r>
          </w:p>
        </w:tc>
        <w:tc>
          <w:tcPr>
            <w:tcW w:w="710"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0.722</w:t>
            </w:r>
          </w:p>
        </w:tc>
        <w:tc>
          <w:tcPr>
            <w:tcW w:w="677"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w:t>
            </w:r>
          </w:p>
        </w:tc>
        <w:tc>
          <w:tcPr>
            <w:tcW w:w="656" w:type="dxa"/>
            <w:vAlign w:val="center"/>
          </w:tcPr>
          <w:p>
            <w:pPr>
              <w:widowControl/>
              <w:spacing w:line="276"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trPr>
        <w:tc>
          <w:tcPr>
            <w:tcW w:w="892" w:type="dxa"/>
            <w:vMerge w:val="continue"/>
            <w:vAlign w:val="center"/>
          </w:tcPr>
          <w:p>
            <w:pPr>
              <w:widowControl/>
              <w:spacing w:line="276" w:lineRule="auto"/>
              <w:jc w:val="center"/>
              <w:rPr>
                <w:rFonts w:hint="default" w:ascii="Times New Roman" w:hAnsi="Times New Roman" w:cs="Times New Roman"/>
                <w:szCs w:val="21"/>
              </w:rPr>
            </w:pPr>
          </w:p>
        </w:tc>
        <w:tc>
          <w:tcPr>
            <w:tcW w:w="1750" w:type="dxa"/>
            <w:vAlign w:val="center"/>
          </w:tcPr>
          <w:p>
            <w:pPr>
              <w:widowControl/>
              <w:spacing w:line="276" w:lineRule="auto"/>
              <w:jc w:val="center"/>
              <w:rPr>
                <w:rFonts w:hint="default" w:ascii="Times New Roman" w:hAnsi="Times New Roman" w:cs="Times New Roman"/>
                <w:szCs w:val="21"/>
                <w:lang w:eastAsia="zh-CN"/>
              </w:rPr>
            </w:pPr>
            <w:r>
              <w:rPr>
                <w:rFonts w:hint="eastAsia" w:ascii="Times New Roman" w:hAnsi="Times New Roman" w:cs="Times New Roman"/>
                <w:szCs w:val="21"/>
                <w:lang w:val="en-US" w:eastAsia="zh-CN"/>
              </w:rPr>
              <w:t>悬浮物</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16</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24</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18</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26</w:t>
            </w:r>
          </w:p>
        </w:tc>
        <w:tc>
          <w:tcPr>
            <w:tcW w:w="705" w:type="dxa"/>
            <w:gridSpan w:val="2"/>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17</w:t>
            </w:r>
          </w:p>
        </w:tc>
        <w:tc>
          <w:tcPr>
            <w:tcW w:w="710"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22</w:t>
            </w:r>
          </w:p>
        </w:tc>
        <w:tc>
          <w:tcPr>
            <w:tcW w:w="677"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400</w:t>
            </w:r>
          </w:p>
        </w:tc>
        <w:tc>
          <w:tcPr>
            <w:tcW w:w="656" w:type="dxa"/>
            <w:vAlign w:val="center"/>
          </w:tcPr>
          <w:p>
            <w:pPr>
              <w:widowControl/>
              <w:spacing w:line="276"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trPr>
        <w:tc>
          <w:tcPr>
            <w:tcW w:w="892" w:type="dxa"/>
            <w:vMerge w:val="continue"/>
            <w:vAlign w:val="center"/>
          </w:tcPr>
          <w:p>
            <w:pPr>
              <w:widowControl/>
              <w:spacing w:line="276" w:lineRule="auto"/>
              <w:jc w:val="center"/>
              <w:rPr>
                <w:rFonts w:hint="default" w:ascii="Times New Roman" w:hAnsi="Times New Roman" w:cs="Times New Roman"/>
                <w:szCs w:val="21"/>
              </w:rPr>
            </w:pPr>
          </w:p>
        </w:tc>
        <w:tc>
          <w:tcPr>
            <w:tcW w:w="1750" w:type="dxa"/>
            <w:vAlign w:val="center"/>
          </w:tcPr>
          <w:p>
            <w:pPr>
              <w:widowControl/>
              <w:spacing w:line="276" w:lineRule="auto"/>
              <w:jc w:val="center"/>
              <w:rPr>
                <w:rFonts w:hint="default" w:ascii="Times New Roman" w:hAnsi="Times New Roman" w:cs="Times New Roman"/>
                <w:szCs w:val="21"/>
                <w:lang w:eastAsia="zh-CN"/>
              </w:rPr>
            </w:pPr>
            <w:r>
              <w:rPr>
                <w:rFonts w:hint="eastAsia" w:cs="Times New Roman"/>
                <w:szCs w:val="21"/>
                <w:lang w:val="en-US" w:eastAsia="zh-CN"/>
              </w:rPr>
              <w:t>动植物油</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0.66</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0.62</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0.60</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0.55</w:t>
            </w:r>
          </w:p>
        </w:tc>
        <w:tc>
          <w:tcPr>
            <w:tcW w:w="705" w:type="dxa"/>
            <w:gridSpan w:val="2"/>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0.48</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0.53</w:t>
            </w:r>
          </w:p>
        </w:tc>
        <w:tc>
          <w:tcPr>
            <w:tcW w:w="705"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0.46</w:t>
            </w:r>
          </w:p>
        </w:tc>
        <w:tc>
          <w:tcPr>
            <w:tcW w:w="710"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0.50</w:t>
            </w:r>
          </w:p>
        </w:tc>
        <w:tc>
          <w:tcPr>
            <w:tcW w:w="677" w:type="dxa"/>
            <w:vAlign w:val="center"/>
          </w:tcPr>
          <w:p>
            <w:pPr>
              <w:spacing w:line="276"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100</w:t>
            </w:r>
          </w:p>
        </w:tc>
        <w:tc>
          <w:tcPr>
            <w:tcW w:w="656" w:type="dxa"/>
            <w:vAlign w:val="center"/>
          </w:tcPr>
          <w:p>
            <w:pPr>
              <w:widowControl/>
              <w:spacing w:line="276"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trPr>
        <w:tc>
          <w:tcPr>
            <w:tcW w:w="9620" w:type="dxa"/>
            <w:gridSpan w:val="13"/>
            <w:vAlign w:val="center"/>
          </w:tcPr>
          <w:p>
            <w:pPr>
              <w:widowControl/>
              <w:spacing w:line="276" w:lineRule="auto"/>
              <w:jc w:val="left"/>
              <w:rPr>
                <w:rFonts w:hint="eastAsia" w:ascii="Times New Roman" w:hAnsi="Times New Roman" w:cs="Times New Roman"/>
                <w:bCs/>
                <w:szCs w:val="21"/>
                <w:lang w:val="en-US" w:eastAsia="zh-CN"/>
              </w:rPr>
            </w:pPr>
            <w:r>
              <w:rPr>
                <w:rFonts w:hint="default" w:ascii="Times New Roman" w:hAnsi="Times New Roman" w:eastAsia="宋体" w:cs="Times New Roman"/>
                <w:color w:val="auto"/>
                <w:sz w:val="21"/>
                <w:szCs w:val="21"/>
                <w:lang w:eastAsia="zh-CN"/>
              </w:rPr>
              <w:t>注：</w:t>
            </w:r>
            <w:r>
              <w:rPr>
                <w:rFonts w:hint="default" w:ascii="Times New Roman" w:hAnsi="Times New Roman" w:eastAsia="宋体" w:cs="Times New Roman"/>
                <w:color w:val="auto"/>
                <w:sz w:val="21"/>
                <w:szCs w:val="21"/>
                <w:lang w:val="en-US" w:eastAsia="zh-CN"/>
              </w:rPr>
              <w:t>pH单位为无量纲，其他废水浓度单位为mg/L。</w:t>
            </w:r>
          </w:p>
        </w:tc>
      </w:tr>
    </w:tbl>
    <w:p>
      <w:pPr>
        <w:pStyle w:val="76"/>
        <w:rPr>
          <w:rFonts w:hint="default" w:ascii="Times New Roman" w:hAnsi="Times New Roman" w:cs="Times New Roman"/>
          <w:szCs w:val="24"/>
        </w:rPr>
      </w:pPr>
    </w:p>
    <w:p>
      <w:pPr>
        <w:pStyle w:val="76"/>
        <w:rPr>
          <w:rFonts w:hint="default" w:ascii="Times New Roman" w:hAnsi="Times New Roman" w:cs="Times New Roman"/>
          <w:szCs w:val="24"/>
        </w:rPr>
      </w:pPr>
      <w:r>
        <w:rPr>
          <w:rFonts w:hint="default" w:ascii="Times New Roman" w:hAnsi="Times New Roman" w:cs="Times New Roman"/>
          <w:szCs w:val="24"/>
        </w:rPr>
        <w:t>6.3.</w:t>
      </w:r>
      <w:r>
        <w:rPr>
          <w:rFonts w:hint="eastAsia" w:ascii="Times New Roman" w:hAnsi="Times New Roman" w:cs="Times New Roman"/>
          <w:szCs w:val="24"/>
          <w:lang w:val="en-US" w:eastAsia="zh-CN"/>
        </w:rPr>
        <w:t>1</w:t>
      </w:r>
      <w:r>
        <w:rPr>
          <w:rFonts w:hint="default" w:ascii="Times New Roman" w:hAnsi="Times New Roman" w:cs="Times New Roman"/>
          <w:szCs w:val="24"/>
        </w:rPr>
        <w:t>.</w:t>
      </w:r>
      <w:r>
        <w:rPr>
          <w:rFonts w:hint="eastAsia" w:ascii="Times New Roman" w:hAnsi="Times New Roman" w:cs="Times New Roman"/>
          <w:szCs w:val="24"/>
          <w:lang w:val="en-US" w:eastAsia="zh-CN"/>
        </w:rPr>
        <w:t>2</w:t>
      </w:r>
      <w:r>
        <w:rPr>
          <w:rFonts w:hint="default" w:ascii="Times New Roman" w:hAnsi="Times New Roman" w:cs="Times New Roman"/>
          <w:szCs w:val="24"/>
        </w:rPr>
        <w:t>废水监测结果分析</w:t>
      </w:r>
    </w:p>
    <w:p>
      <w:pPr>
        <w:pStyle w:val="68"/>
        <w:ind w:firstLine="480" w:firstLineChars="200"/>
        <w:rPr>
          <w:rFonts w:hint="default" w:ascii="Times New Roman" w:hAnsi="Times New Roman" w:cs="Times New Roman"/>
        </w:rPr>
      </w:pPr>
      <w:r>
        <w:rPr>
          <w:rFonts w:hint="default" w:ascii="Times New Roman" w:hAnsi="Times New Roman" w:cs="Times New Roman"/>
          <w:b w:val="0"/>
          <w:bCs w:val="0"/>
          <w:sz w:val="24"/>
          <w:szCs w:val="24"/>
        </w:rPr>
        <w:t>在监测日工况条件下，</w:t>
      </w:r>
      <w:r>
        <w:rPr>
          <w:rFonts w:hint="eastAsia" w:ascii="Times New Roman" w:hAnsi="Times New Roman" w:cs="Times New Roman"/>
          <w:b w:val="0"/>
          <w:bCs w:val="0"/>
          <w:sz w:val="24"/>
          <w:szCs w:val="24"/>
          <w:lang w:val="en-US" w:eastAsia="zh-CN"/>
        </w:rPr>
        <w:t>废水总排口中pH、悬浮物、化学需氧量、动植物油均《污水综合排放标准》（GB 8978-1996）中的三级排放标准，其中氨氮符合《工业企业废水氮、磷污染物间接排放限值》（DB33/887-2013）中的限值要求。</w:t>
      </w:r>
    </w:p>
    <w:p>
      <w:pPr>
        <w:pStyle w:val="68"/>
        <w:rPr>
          <w:rFonts w:hint="default" w:ascii="Times New Roman" w:hAnsi="Times New Roman" w:cs="Times New Roman"/>
        </w:rPr>
      </w:pPr>
      <w:r>
        <w:rPr>
          <w:rFonts w:hint="default" w:ascii="Times New Roman" w:hAnsi="Times New Roman" w:cs="Times New Roman"/>
        </w:rPr>
        <w:t>6.3.2废气监测结果与评价</w:t>
      </w:r>
    </w:p>
    <w:p>
      <w:pPr>
        <w:pStyle w:val="76"/>
        <w:rPr>
          <w:rFonts w:hint="default" w:ascii="Times New Roman" w:hAnsi="Times New Roman" w:cs="Times New Roman"/>
          <w:szCs w:val="24"/>
        </w:rPr>
      </w:pPr>
      <w:r>
        <w:rPr>
          <w:rFonts w:hint="default" w:ascii="Times New Roman" w:hAnsi="Times New Roman" w:cs="Times New Roman"/>
          <w:szCs w:val="24"/>
        </w:rPr>
        <w:t>6.3.2.1废气监测结果</w:t>
      </w:r>
    </w:p>
    <w:p>
      <w:pPr>
        <w:pStyle w:val="76"/>
        <w:rPr>
          <w:rFonts w:hint="default" w:ascii="Times New Roman" w:hAnsi="Times New Roman" w:cs="Times New Roman"/>
          <w:b w:val="0"/>
          <w:bCs/>
          <w:szCs w:val="24"/>
        </w:rPr>
      </w:pPr>
      <w:r>
        <w:rPr>
          <w:rFonts w:hint="default" w:ascii="Times New Roman" w:hAnsi="Times New Roman" w:cs="Times New Roman"/>
          <w:b w:val="0"/>
          <w:bCs/>
          <w:szCs w:val="24"/>
        </w:rPr>
        <w:t>无组织排放废气监测结果见表6-</w:t>
      </w:r>
      <w:r>
        <w:rPr>
          <w:rFonts w:hint="eastAsia" w:ascii="Times New Roman" w:hAnsi="Times New Roman" w:cs="Times New Roman"/>
          <w:b w:val="0"/>
          <w:bCs/>
          <w:szCs w:val="24"/>
          <w:lang w:val="en-US" w:eastAsia="zh-CN"/>
        </w:rPr>
        <w:t>6</w:t>
      </w:r>
      <w:r>
        <w:rPr>
          <w:rFonts w:hint="default" w:ascii="Times New Roman" w:hAnsi="Times New Roman" w:cs="Times New Roman"/>
          <w:b w:val="0"/>
          <w:bCs/>
          <w:szCs w:val="24"/>
        </w:rPr>
        <w:t>。</w:t>
      </w:r>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表6-</w:t>
      </w:r>
      <w:r>
        <w:rPr>
          <w:rFonts w:hint="eastAsia" w:ascii="Times New Roman" w:hAnsi="Times New Roman" w:cs="Times New Roman"/>
          <w:b/>
          <w:szCs w:val="21"/>
          <w:lang w:val="en-US" w:eastAsia="zh-CN"/>
        </w:rPr>
        <w:t>6</w:t>
      </w:r>
      <w:r>
        <w:rPr>
          <w:rFonts w:hint="default" w:ascii="Times New Roman" w:hAnsi="Times New Roman" w:cs="Times New Roman"/>
          <w:b/>
          <w:szCs w:val="21"/>
        </w:rPr>
        <w:t>无组织排放废气监测结果</w:t>
      </w:r>
    </w:p>
    <w:tbl>
      <w:tblPr>
        <w:tblStyle w:val="25"/>
        <w:tblpPr w:leftFromText="180" w:rightFromText="180" w:vertAnchor="text" w:horzAnchor="page" w:tblpX="1694" w:tblpY="78"/>
        <w:tblOverlap w:val="never"/>
        <w:tblW w:w="858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317"/>
        <w:gridCol w:w="1810"/>
        <w:gridCol w:w="1677"/>
        <w:gridCol w:w="2401"/>
        <w:gridCol w:w="687"/>
        <w:gridCol w:w="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49" w:hRule="atLeast"/>
        </w:trPr>
        <w:tc>
          <w:tcPr>
            <w:tcW w:w="1317" w:type="dxa"/>
            <w:vMerge w:val="restart"/>
            <w:tcBorders>
              <w:tl2br w:val="nil"/>
              <w:tr2bl w:val="nil"/>
            </w:tcBorders>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采样日期</w:t>
            </w:r>
          </w:p>
        </w:tc>
        <w:tc>
          <w:tcPr>
            <w:tcW w:w="1810" w:type="dxa"/>
            <w:vMerge w:val="restart"/>
            <w:tcBorders>
              <w:tl2br w:val="nil"/>
              <w:tr2bl w:val="nil"/>
            </w:tcBorders>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采样点</w:t>
            </w:r>
          </w:p>
        </w:tc>
        <w:tc>
          <w:tcPr>
            <w:tcW w:w="1677" w:type="dxa"/>
            <w:vMerge w:val="restart"/>
            <w:tcBorders>
              <w:tl2br w:val="nil"/>
              <w:tr2bl w:val="nil"/>
            </w:tcBorders>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监测时间</w:t>
            </w:r>
          </w:p>
        </w:tc>
        <w:tc>
          <w:tcPr>
            <w:tcW w:w="2401" w:type="dxa"/>
            <w:tcBorders>
              <w:right w:val="single" w:color="auto" w:sz="4" w:space="0"/>
              <w:tl2br w:val="nil"/>
              <w:tr2bl w:val="nil"/>
            </w:tcBorders>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检测结果</w:t>
            </w:r>
          </w:p>
        </w:tc>
        <w:tc>
          <w:tcPr>
            <w:tcW w:w="687" w:type="dxa"/>
            <w:vMerge w:val="restart"/>
            <w:tcBorders>
              <w:left w:val="single" w:color="auto" w:sz="4" w:space="0"/>
              <w:right w:val="single" w:color="auto" w:sz="4" w:space="0"/>
              <w:tl2br w:val="nil"/>
              <w:tr2bl w:val="nil"/>
            </w:tcBorders>
            <w:vAlign w:val="center"/>
          </w:tcPr>
          <w:p>
            <w:pPr>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标准</w:t>
            </w:r>
          </w:p>
          <w:p>
            <w:pPr>
              <w:spacing w:line="240" w:lineRule="auto"/>
              <w:jc w:val="center"/>
              <w:rPr>
                <w:rFonts w:hint="default" w:ascii="Times New Roman" w:hAnsi="Times New Roman" w:cs="Times New Roman"/>
                <w:sz w:val="24"/>
              </w:rPr>
            </w:pPr>
            <w:r>
              <w:rPr>
                <w:rFonts w:hint="default" w:ascii="Times New Roman" w:hAnsi="Times New Roman" w:cs="Times New Roman"/>
                <w:bCs/>
                <w:szCs w:val="21"/>
              </w:rPr>
              <w:t>限值</w:t>
            </w:r>
          </w:p>
        </w:tc>
        <w:tc>
          <w:tcPr>
            <w:tcW w:w="688" w:type="dxa"/>
            <w:vMerge w:val="restart"/>
            <w:tcBorders>
              <w:left w:val="single" w:color="auto" w:sz="4" w:space="0"/>
              <w:tl2br w:val="nil"/>
              <w:tr2bl w:val="nil"/>
            </w:tcBorders>
            <w:vAlign w:val="center"/>
          </w:tcPr>
          <w:p>
            <w:pPr>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达标</w:t>
            </w:r>
          </w:p>
          <w:p>
            <w:pPr>
              <w:spacing w:line="240" w:lineRule="auto"/>
              <w:jc w:val="center"/>
              <w:rPr>
                <w:rFonts w:hint="default" w:ascii="Times New Roman" w:hAnsi="Times New Roman" w:cs="Times New Roman"/>
                <w:sz w:val="24"/>
              </w:rPr>
            </w:pPr>
            <w:r>
              <w:rPr>
                <w:rFonts w:hint="default" w:ascii="Times New Roman" w:hAnsi="Times New Roman" w:cs="Times New Roman"/>
                <w:bCs/>
                <w:szCs w:val="21"/>
              </w:rPr>
              <w:t>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vAlign w:val="center"/>
          </w:tcPr>
          <w:p>
            <w:pPr>
              <w:spacing w:line="240" w:lineRule="auto"/>
              <w:jc w:val="center"/>
              <w:rPr>
                <w:rFonts w:hint="default" w:ascii="Times New Roman" w:hAnsi="Times New Roman" w:cs="Times New Roman"/>
                <w:szCs w:val="21"/>
                <w:lang w:val="en-US" w:eastAsia="zh-CN"/>
              </w:rPr>
            </w:pPr>
          </w:p>
        </w:tc>
        <w:tc>
          <w:tcPr>
            <w:tcW w:w="1810" w:type="dxa"/>
            <w:vMerge w:val="continue"/>
            <w:tcBorders>
              <w:tl2br w:val="nil"/>
              <w:tr2bl w:val="nil"/>
            </w:tcBorders>
            <w:vAlign w:val="center"/>
          </w:tcPr>
          <w:p>
            <w:pPr>
              <w:spacing w:line="240" w:lineRule="auto"/>
              <w:jc w:val="center"/>
              <w:rPr>
                <w:rFonts w:hint="default" w:ascii="Times New Roman" w:hAnsi="Times New Roman" w:cs="Times New Roman"/>
                <w:szCs w:val="21"/>
                <w:lang w:val="en-US" w:eastAsia="zh-CN"/>
              </w:rPr>
            </w:pPr>
          </w:p>
        </w:tc>
        <w:tc>
          <w:tcPr>
            <w:tcW w:w="1677" w:type="dxa"/>
            <w:vMerge w:val="continue"/>
            <w:tcBorders>
              <w:tl2br w:val="nil"/>
              <w:tr2bl w:val="nil"/>
            </w:tcBorders>
            <w:vAlign w:val="center"/>
          </w:tcPr>
          <w:p>
            <w:pPr>
              <w:spacing w:line="240" w:lineRule="auto"/>
              <w:jc w:val="center"/>
              <w:rPr>
                <w:rFonts w:hint="default" w:ascii="Times New Roman" w:hAnsi="Times New Roman" w:cs="Times New Roman"/>
                <w:szCs w:val="21"/>
                <w:lang w:val="en-US" w:eastAsia="zh-CN"/>
              </w:rPr>
            </w:pPr>
          </w:p>
        </w:tc>
        <w:tc>
          <w:tcPr>
            <w:tcW w:w="2401" w:type="dxa"/>
            <w:tcBorders>
              <w:right w:val="single" w:color="auto" w:sz="4" w:space="0"/>
              <w:tl2br w:val="nil"/>
              <w:tr2bl w:val="nil"/>
            </w:tcBorders>
            <w:vAlign w:val="center"/>
          </w:tcPr>
          <w:p>
            <w:pPr>
              <w:spacing w:line="240" w:lineRule="auto"/>
              <w:jc w:val="center"/>
              <w:rPr>
                <w:rFonts w:hint="default" w:ascii="Times New Roman" w:hAnsi="Times New Roman" w:cs="Times New Roman"/>
                <w:szCs w:val="21"/>
                <w:lang w:val="en-US" w:eastAsia="zh-CN"/>
              </w:rPr>
            </w:pPr>
            <w:r>
              <w:rPr>
                <w:rFonts w:hint="eastAsia" w:cs="Times New Roman"/>
                <w:szCs w:val="21"/>
                <w:lang w:val="en-US" w:eastAsia="zh-CN"/>
              </w:rPr>
              <w:t>颗粒物</w:t>
            </w:r>
            <w:r>
              <w:rPr>
                <w:rFonts w:hint="default" w:ascii="Times New Roman" w:hAnsi="Times New Roman" w:cs="Times New Roman"/>
                <w:szCs w:val="21"/>
                <w:lang w:val="en-US" w:eastAsia="zh-CN"/>
              </w:rPr>
              <w:t xml:space="preserve"> mg/m</w:t>
            </w:r>
            <w:r>
              <w:rPr>
                <w:rFonts w:hint="default" w:ascii="Times New Roman" w:hAnsi="Times New Roman" w:cs="Times New Roman"/>
                <w:szCs w:val="21"/>
                <w:vertAlign w:val="superscript"/>
                <w:lang w:val="en-US" w:eastAsia="zh-CN"/>
              </w:rPr>
              <w:t>3</w:t>
            </w:r>
          </w:p>
        </w:tc>
        <w:tc>
          <w:tcPr>
            <w:tcW w:w="687" w:type="dxa"/>
            <w:vMerge w:val="continue"/>
            <w:tcBorders>
              <w:left w:val="single" w:color="auto" w:sz="4" w:space="0"/>
              <w:right w:val="single" w:color="auto" w:sz="4" w:space="0"/>
              <w:tl2br w:val="nil"/>
              <w:tr2bl w:val="nil"/>
            </w:tcBorders>
            <w:vAlign w:val="center"/>
          </w:tcPr>
          <w:p>
            <w:pPr>
              <w:spacing w:line="240" w:lineRule="auto"/>
              <w:jc w:val="center"/>
              <w:rPr>
                <w:rFonts w:hint="default" w:ascii="Times New Roman" w:hAnsi="Times New Roman" w:cs="Times New Roman"/>
                <w:sz w:val="24"/>
              </w:rPr>
            </w:pPr>
          </w:p>
        </w:tc>
        <w:tc>
          <w:tcPr>
            <w:tcW w:w="688" w:type="dxa"/>
            <w:vMerge w:val="continue"/>
            <w:tcBorders>
              <w:left w:val="single" w:color="auto" w:sz="4" w:space="0"/>
              <w:tl2br w:val="nil"/>
              <w:tr2bl w:val="nil"/>
            </w:tcBorders>
            <w:vAlign w:val="center"/>
          </w:tcPr>
          <w:p>
            <w:pPr>
              <w:spacing w:line="24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restart"/>
            <w:tcBorders>
              <w:tl2br w:val="nil"/>
              <w:tr2bl w:val="nil"/>
            </w:tcBorders>
            <w:shd w:val="clear" w:color="auto" w:fill="auto"/>
            <w:vAlign w:val="center"/>
          </w:tcPr>
          <w:p>
            <w:pPr>
              <w:spacing w:line="24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2018.05.18</w:t>
            </w:r>
          </w:p>
        </w:tc>
        <w:tc>
          <w:tcPr>
            <w:tcW w:w="1810" w:type="dxa"/>
            <w:vMerge w:val="restart"/>
            <w:tcBorders>
              <w:tl2br w:val="nil"/>
              <w:tr2bl w:val="nil"/>
            </w:tcBorders>
            <w:shd w:val="clear" w:color="auto" w:fill="auto"/>
            <w:vAlign w:val="center"/>
          </w:tcPr>
          <w:p>
            <w:pPr>
              <w:spacing w:line="276" w:lineRule="auto"/>
              <w:jc w:val="center"/>
              <w:rPr>
                <w:rFonts w:hint="eastAsia" w:ascii="Times New Roman" w:hAnsi="Times New Roman" w:eastAsia="宋体" w:cs="Times New Roman"/>
                <w:szCs w:val="21"/>
                <w:lang w:val="en-US" w:eastAsia="zh-CN"/>
              </w:rPr>
            </w:pPr>
            <w:r>
              <w:rPr>
                <w:rFonts w:hint="eastAsia" w:ascii="宋体" w:hAnsi="宋体" w:eastAsia="宋体" w:cs="宋体"/>
                <w:bCs/>
                <w:szCs w:val="21"/>
                <w:lang w:eastAsia="zh-CN"/>
              </w:rPr>
              <w:t>厂界</w:t>
            </w:r>
            <w:r>
              <w:rPr>
                <w:rFonts w:hint="eastAsia" w:ascii="宋体" w:hAnsi="宋体" w:cs="宋体"/>
                <w:bCs/>
                <w:szCs w:val="21"/>
                <w:lang w:eastAsia="zh-CN"/>
              </w:rPr>
              <w:t>西</w:t>
            </w:r>
            <w:r>
              <w:rPr>
                <w:rFonts w:hint="eastAsia" w:ascii="宋体" w:hAnsi="宋体" w:eastAsia="宋体" w:cs="宋体"/>
                <w:bCs/>
                <w:szCs w:val="21"/>
                <w:lang w:eastAsia="zh-CN"/>
              </w:rPr>
              <w:t>无组织废气○</w:t>
            </w:r>
            <w:r>
              <w:rPr>
                <w:rFonts w:hint="eastAsia" w:ascii="宋体" w:hAnsi="宋体" w:eastAsia="宋体" w:cs="宋体"/>
                <w:bCs/>
                <w:szCs w:val="21"/>
                <w:lang w:val="en-US" w:eastAsia="zh-CN"/>
              </w:rPr>
              <w:t>A</w:t>
            </w: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10:35-11:35</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0.358</w:t>
            </w:r>
          </w:p>
        </w:tc>
        <w:tc>
          <w:tcPr>
            <w:tcW w:w="687" w:type="dxa"/>
            <w:vMerge w:val="restart"/>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cs="Times New Roman"/>
                <w:szCs w:val="21"/>
                <w:lang w:val="en-US" w:eastAsia="zh-CN"/>
              </w:rPr>
              <w:t>1.0</w:t>
            </w: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eastAsia" w:ascii="Times New Roman" w:hAnsi="Times New Roman" w:cs="Times New Roman"/>
                <w:szCs w:val="21"/>
                <w:lang w:val="en-US" w:eastAsia="zh-CN"/>
              </w:rPr>
            </w:pPr>
          </w:p>
        </w:tc>
        <w:tc>
          <w:tcPr>
            <w:tcW w:w="1810" w:type="dxa"/>
            <w:vMerge w:val="continue"/>
            <w:tcBorders>
              <w:tl2br w:val="nil"/>
              <w:tr2bl w:val="nil"/>
            </w:tcBorders>
            <w:shd w:val="clear" w:color="auto" w:fill="auto"/>
            <w:vAlign w:val="center"/>
          </w:tcPr>
          <w:p>
            <w:pPr>
              <w:spacing w:line="240" w:lineRule="auto"/>
              <w:jc w:val="cente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12:40-13:40</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0.435</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810"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13:45-14:45</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0.377</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810" w:type="dxa"/>
            <w:vMerge w:val="restart"/>
            <w:tcBorders>
              <w:tl2br w:val="nil"/>
              <w:tr2bl w:val="nil"/>
            </w:tcBorders>
            <w:shd w:val="clear" w:color="auto" w:fill="auto"/>
            <w:vAlign w:val="center"/>
          </w:tcPr>
          <w:p>
            <w:pPr>
              <w:spacing w:line="276" w:lineRule="auto"/>
              <w:jc w:val="center"/>
              <w:rPr>
                <w:rFonts w:hint="default" w:ascii="Times New Roman" w:hAnsi="Times New Roman" w:cs="Times New Roman"/>
                <w:szCs w:val="21"/>
                <w:lang w:val="en-US" w:eastAsia="zh-CN"/>
              </w:rPr>
            </w:pPr>
            <w:r>
              <w:rPr>
                <w:rFonts w:hint="eastAsia" w:ascii="宋体" w:hAnsi="宋体" w:eastAsia="宋体" w:cs="宋体"/>
                <w:bCs/>
                <w:szCs w:val="21"/>
                <w:lang w:eastAsia="zh-CN"/>
              </w:rPr>
              <w:t>厂界</w:t>
            </w:r>
            <w:r>
              <w:rPr>
                <w:rFonts w:hint="eastAsia" w:ascii="宋体" w:hAnsi="宋体" w:cs="宋体"/>
                <w:bCs/>
                <w:szCs w:val="21"/>
                <w:lang w:eastAsia="zh-CN"/>
              </w:rPr>
              <w:t>北</w:t>
            </w:r>
            <w:r>
              <w:rPr>
                <w:rFonts w:hint="eastAsia" w:ascii="宋体" w:hAnsi="宋体" w:eastAsia="宋体" w:cs="宋体"/>
                <w:bCs/>
                <w:szCs w:val="21"/>
                <w:lang w:eastAsia="zh-CN"/>
              </w:rPr>
              <w:t>无组织废气○</w:t>
            </w:r>
            <w:r>
              <w:rPr>
                <w:rFonts w:hint="eastAsia" w:ascii="宋体" w:hAnsi="宋体" w:eastAsia="宋体" w:cs="宋体"/>
                <w:bCs/>
                <w:szCs w:val="21"/>
                <w:lang w:val="en-US" w:eastAsia="zh-CN"/>
              </w:rPr>
              <w:t>B</w:t>
            </w: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10:40-11:40</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0.397</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810"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12:45-13:45</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0.416</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810" w:type="dxa"/>
            <w:vMerge w:val="continue"/>
            <w:tcBorders>
              <w:bottom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1677" w:type="dxa"/>
            <w:tcBorders>
              <w:bottom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13:50-14:50</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0.434</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restart"/>
            <w:tcBorders>
              <w:top w:val="single" w:color="auto" w:sz="4" w:space="0"/>
              <w:tl2br w:val="nil"/>
              <w:tr2bl w:val="nil"/>
            </w:tcBorders>
            <w:shd w:val="clear" w:color="auto" w:fill="auto"/>
            <w:vAlign w:val="center"/>
          </w:tcPr>
          <w:p>
            <w:pPr>
              <w:spacing w:line="24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2018.05.19</w:t>
            </w:r>
          </w:p>
        </w:tc>
        <w:tc>
          <w:tcPr>
            <w:tcW w:w="1810" w:type="dxa"/>
            <w:vMerge w:val="restart"/>
            <w:tcBorders>
              <w:tl2br w:val="nil"/>
              <w:tr2bl w:val="nil"/>
            </w:tcBorders>
            <w:shd w:val="clear" w:color="auto" w:fill="auto"/>
            <w:vAlign w:val="center"/>
          </w:tcPr>
          <w:p>
            <w:pPr>
              <w:spacing w:line="276" w:lineRule="auto"/>
              <w:jc w:val="center"/>
              <w:rPr>
                <w:rFonts w:hint="default" w:ascii="Times New Roman" w:hAnsi="Times New Roman" w:cs="Times New Roman"/>
                <w:szCs w:val="21"/>
              </w:rPr>
            </w:pPr>
            <w:r>
              <w:rPr>
                <w:rFonts w:hint="eastAsia" w:ascii="宋体" w:hAnsi="宋体" w:eastAsia="宋体" w:cs="宋体"/>
                <w:bCs/>
                <w:szCs w:val="21"/>
                <w:lang w:eastAsia="zh-CN"/>
              </w:rPr>
              <w:t>厂界</w:t>
            </w:r>
            <w:r>
              <w:rPr>
                <w:rFonts w:hint="eastAsia" w:ascii="宋体" w:hAnsi="宋体" w:cs="宋体"/>
                <w:bCs/>
                <w:szCs w:val="21"/>
                <w:lang w:eastAsia="zh-CN"/>
              </w:rPr>
              <w:t>西</w:t>
            </w:r>
            <w:r>
              <w:rPr>
                <w:rFonts w:hint="eastAsia" w:ascii="宋体" w:hAnsi="宋体" w:eastAsia="宋体" w:cs="宋体"/>
                <w:bCs/>
                <w:szCs w:val="21"/>
                <w:lang w:eastAsia="zh-CN"/>
              </w:rPr>
              <w:t>无组织废气○</w:t>
            </w:r>
            <w:r>
              <w:rPr>
                <w:rFonts w:hint="eastAsia" w:ascii="宋体" w:hAnsi="宋体" w:eastAsia="宋体" w:cs="宋体"/>
                <w:bCs/>
                <w:szCs w:val="21"/>
                <w:lang w:val="en-US" w:eastAsia="zh-CN"/>
              </w:rPr>
              <w:t>A</w:t>
            </w: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10:20-11:20</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0.388</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pPr>
          </w:p>
        </w:tc>
        <w:tc>
          <w:tcPr>
            <w:tcW w:w="1810" w:type="dxa"/>
            <w:vMerge w:val="continue"/>
            <w:tcBorders>
              <w:tl2br w:val="nil"/>
              <w:tr2bl w:val="nil"/>
            </w:tcBorders>
            <w:shd w:val="clear" w:color="auto" w:fill="auto"/>
            <w:vAlign w:val="center"/>
          </w:tcPr>
          <w:p>
            <w:pPr>
              <w:spacing w:line="240" w:lineRule="auto"/>
              <w:jc w:val="cente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12:45-13:45</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0.406</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810"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13:50-14:50</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0.404</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1810" w:type="dxa"/>
            <w:vMerge w:val="restart"/>
            <w:tcBorders>
              <w:tl2br w:val="nil"/>
              <w:tr2bl w:val="nil"/>
            </w:tcBorders>
            <w:shd w:val="clear" w:color="auto" w:fill="auto"/>
            <w:vAlign w:val="center"/>
          </w:tcPr>
          <w:p>
            <w:pPr>
              <w:spacing w:line="276" w:lineRule="auto"/>
              <w:jc w:val="center"/>
              <w:rPr>
                <w:rFonts w:hint="default" w:ascii="Times New Roman" w:hAnsi="Times New Roman" w:cs="Times New Roman"/>
                <w:szCs w:val="21"/>
                <w:lang w:val="en-US" w:eastAsia="zh-CN"/>
              </w:rPr>
            </w:pPr>
            <w:r>
              <w:rPr>
                <w:rFonts w:hint="eastAsia" w:ascii="宋体" w:hAnsi="宋体" w:eastAsia="宋体" w:cs="宋体"/>
                <w:bCs/>
                <w:szCs w:val="21"/>
                <w:lang w:eastAsia="zh-CN"/>
              </w:rPr>
              <w:t>厂界</w:t>
            </w:r>
            <w:r>
              <w:rPr>
                <w:rFonts w:hint="eastAsia" w:ascii="宋体" w:hAnsi="宋体" w:cs="宋体"/>
                <w:bCs/>
                <w:szCs w:val="21"/>
                <w:lang w:eastAsia="zh-CN"/>
              </w:rPr>
              <w:t>北</w:t>
            </w:r>
            <w:r>
              <w:rPr>
                <w:rFonts w:hint="eastAsia" w:ascii="宋体" w:hAnsi="宋体" w:eastAsia="宋体" w:cs="宋体"/>
                <w:bCs/>
                <w:szCs w:val="21"/>
                <w:lang w:eastAsia="zh-CN"/>
              </w:rPr>
              <w:t>无组织废气○</w:t>
            </w:r>
            <w:r>
              <w:rPr>
                <w:rFonts w:hint="eastAsia" w:ascii="宋体" w:hAnsi="宋体" w:eastAsia="宋体" w:cs="宋体"/>
                <w:bCs/>
                <w:szCs w:val="21"/>
                <w:lang w:val="en-US" w:eastAsia="zh-CN"/>
              </w:rPr>
              <w:t>B</w:t>
            </w: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10:15-11:15</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0.387</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 w:val="24"/>
              </w:rPr>
            </w:pPr>
          </w:p>
        </w:tc>
        <w:tc>
          <w:tcPr>
            <w:tcW w:w="1810"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12:40-13:40</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0.368</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363" w:hRule="atLeast"/>
        </w:trPr>
        <w:tc>
          <w:tcPr>
            <w:tcW w:w="1317"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 w:val="24"/>
              </w:rPr>
            </w:pPr>
          </w:p>
        </w:tc>
        <w:tc>
          <w:tcPr>
            <w:tcW w:w="1810" w:type="dxa"/>
            <w:vMerge w:val="continue"/>
            <w:tcBorders>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1677" w:type="dxa"/>
            <w:tcBorders>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13:45-14:45</w:t>
            </w:r>
          </w:p>
        </w:tc>
        <w:tc>
          <w:tcPr>
            <w:tcW w:w="2401" w:type="dxa"/>
            <w:tcBorders>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0.407</w:t>
            </w:r>
          </w:p>
        </w:tc>
        <w:tc>
          <w:tcPr>
            <w:tcW w:w="687" w:type="dxa"/>
            <w:vMerge w:val="continue"/>
            <w:tcBorders>
              <w:left w:val="single" w:color="auto" w:sz="4" w:space="0"/>
              <w:righ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p>
        </w:tc>
        <w:tc>
          <w:tcPr>
            <w:tcW w:w="688" w:type="dxa"/>
            <w:tcBorders>
              <w:left w:val="single" w:color="auto" w:sz="4" w:space="0"/>
              <w:tl2br w:val="nil"/>
              <w:tr2bl w:val="nil"/>
            </w:tcBorders>
            <w:shd w:val="clear" w:color="auto" w:fill="auto"/>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达标</w:t>
            </w:r>
          </w:p>
        </w:tc>
      </w:tr>
    </w:tbl>
    <w:p>
      <w:pPr>
        <w:pStyle w:val="76"/>
        <w:rPr>
          <w:rFonts w:hint="default" w:ascii="Times New Roman" w:hAnsi="Times New Roman" w:cs="Times New Roman"/>
          <w:szCs w:val="24"/>
        </w:rPr>
      </w:pPr>
      <w:r>
        <w:rPr>
          <w:rFonts w:hint="default" w:ascii="Times New Roman" w:hAnsi="Times New Roman" w:cs="Times New Roman"/>
          <w:szCs w:val="24"/>
        </w:rPr>
        <w:t>6.3.2.2废气监测结果分析</w:t>
      </w:r>
    </w:p>
    <w:p>
      <w:pPr>
        <w:pStyle w:val="6"/>
        <w:spacing w:line="360" w:lineRule="auto"/>
        <w:ind w:firstLine="480"/>
        <w:rPr>
          <w:rFonts w:hint="default" w:ascii="Times New Roman" w:hAnsi="Times New Roman" w:cs="Times New Roman"/>
        </w:rPr>
      </w:pPr>
      <w:r>
        <w:rPr>
          <w:rFonts w:hint="default" w:ascii="Times New Roman" w:hAnsi="Times New Roman" w:cs="Times New Roman"/>
          <w:sz w:val="24"/>
          <w:szCs w:val="24"/>
        </w:rPr>
        <w:t>在监测日工况条件下，</w:t>
      </w:r>
      <w:bookmarkStart w:id="40" w:name="_Toc3352"/>
      <w:bookmarkStart w:id="41" w:name="_Toc10083"/>
      <w:r>
        <w:rPr>
          <w:rFonts w:hint="default" w:ascii="Times New Roman" w:hAnsi="Times New Roman" w:cs="Times New Roman"/>
          <w:sz w:val="24"/>
          <w:szCs w:val="24"/>
          <w:lang w:val="en-US" w:eastAsia="zh-CN"/>
        </w:rPr>
        <w:t>厂界</w:t>
      </w:r>
      <w:r>
        <w:rPr>
          <w:rFonts w:hint="eastAsia" w:cs="Times New Roman"/>
          <w:sz w:val="24"/>
          <w:szCs w:val="24"/>
          <w:lang w:val="en-US" w:eastAsia="zh-CN"/>
        </w:rPr>
        <w:t>西</w:t>
      </w:r>
      <w:r>
        <w:rPr>
          <w:rFonts w:hint="default" w:ascii="Times New Roman" w:hAnsi="Times New Roman" w:cs="Times New Roman"/>
          <w:sz w:val="24"/>
          <w:szCs w:val="24"/>
          <w:lang w:val="en-US" w:eastAsia="zh-CN"/>
        </w:rPr>
        <w:t>北无组织排放的颗粒物最高点浓度值符合《大气污染物综合排放标准》（GB 16297-1996）中的限值要求。</w:t>
      </w:r>
    </w:p>
    <w:p>
      <w:pPr>
        <w:pStyle w:val="2"/>
        <w:jc w:val="center"/>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rPr>
        <w:t>第7章  监测分析方法和质量保证</w:t>
      </w:r>
      <w:bookmarkEnd w:id="40"/>
      <w:bookmarkEnd w:id="41"/>
    </w:p>
    <w:p>
      <w:pPr>
        <w:spacing w:line="360" w:lineRule="auto"/>
        <w:ind w:firstLine="480" w:firstLineChars="200"/>
        <w:rPr>
          <w:rFonts w:hint="default" w:ascii="Times New Roman" w:hAnsi="Times New Roman" w:cs="Times New Roman"/>
          <w:b/>
          <w:szCs w:val="21"/>
        </w:rPr>
      </w:pPr>
      <w:r>
        <w:rPr>
          <w:rFonts w:hint="default" w:ascii="Times New Roman" w:hAnsi="Times New Roman" w:cs="Times New Roman"/>
          <w:sz w:val="24"/>
          <w:szCs w:val="24"/>
        </w:rPr>
        <w:t>监测分析方法按国家标准分析方法和国家环保部颁布的监测分析方法及有关规定执行。质量保证措施按《浙江省环境监测质量保证技术规定》执行。监测分析方法见表7-1。</w:t>
      </w:r>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表7-1监测分析方法一览表</w:t>
      </w:r>
    </w:p>
    <w:tbl>
      <w:tblPr>
        <w:tblStyle w:val="25"/>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5"/>
        <w:gridCol w:w="1365"/>
        <w:gridCol w:w="1991"/>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tblHeader/>
          <w:jc w:val="center"/>
        </w:trPr>
        <w:tc>
          <w:tcPr>
            <w:tcW w:w="54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类别</w:t>
            </w:r>
          </w:p>
        </w:tc>
        <w:tc>
          <w:tcPr>
            <w:tcW w:w="136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监测项目</w:t>
            </w:r>
          </w:p>
        </w:tc>
        <w:tc>
          <w:tcPr>
            <w:tcW w:w="1991"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分析方法</w:t>
            </w:r>
          </w:p>
        </w:tc>
        <w:tc>
          <w:tcPr>
            <w:tcW w:w="583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方法标准号及来源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545"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废水</w:t>
            </w:r>
          </w:p>
        </w:tc>
        <w:tc>
          <w:tcPr>
            <w:tcW w:w="1365" w:type="dxa"/>
            <w:vAlign w:val="center"/>
          </w:tcPr>
          <w:p>
            <w:pPr>
              <w:suppressAutoHyphens/>
              <w:spacing w:line="276" w:lineRule="auto"/>
              <w:jc w:val="center"/>
              <w:rPr>
                <w:rFonts w:hint="default" w:ascii="Times New Roman" w:hAnsi="Times New Roman" w:cs="Times New Roman"/>
                <w:szCs w:val="21"/>
              </w:rPr>
            </w:pPr>
            <w:r>
              <w:rPr>
                <w:rFonts w:hint="default" w:ascii="Times New Roman" w:hAnsi="Times New Roman" w:cs="Times New Roman"/>
                <w:snapToGrid w:val="0"/>
                <w:szCs w:val="21"/>
              </w:rPr>
              <w:t>pH值</w:t>
            </w:r>
          </w:p>
        </w:tc>
        <w:tc>
          <w:tcPr>
            <w:tcW w:w="1991"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玻璃电极法</w:t>
            </w:r>
          </w:p>
        </w:tc>
        <w:tc>
          <w:tcPr>
            <w:tcW w:w="5839" w:type="dxa"/>
            <w:vAlign w:val="center"/>
          </w:tcPr>
          <w:p>
            <w:pPr>
              <w:suppressAutoHyphens/>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水质 pH值的测定 玻璃电极法GB/T 6920-1986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545" w:type="dxa"/>
            <w:vMerge w:val="continue"/>
            <w:vAlign w:val="center"/>
          </w:tcPr>
          <w:p>
            <w:pPr>
              <w:spacing w:line="276" w:lineRule="auto"/>
              <w:jc w:val="center"/>
              <w:rPr>
                <w:rFonts w:hint="default" w:ascii="Times New Roman" w:hAnsi="Times New Roman" w:cs="Times New Roman"/>
                <w:szCs w:val="21"/>
              </w:rPr>
            </w:pPr>
          </w:p>
        </w:tc>
        <w:tc>
          <w:tcPr>
            <w:tcW w:w="1365" w:type="dxa"/>
            <w:vAlign w:val="center"/>
          </w:tcPr>
          <w:p>
            <w:pPr>
              <w:suppressAutoHyphens/>
              <w:spacing w:line="276" w:lineRule="auto"/>
              <w:jc w:val="center"/>
              <w:rPr>
                <w:rFonts w:hint="default" w:ascii="Times New Roman" w:hAnsi="Times New Roman" w:cs="Times New Roman"/>
                <w:szCs w:val="21"/>
              </w:rPr>
            </w:pPr>
            <w:r>
              <w:rPr>
                <w:rFonts w:hint="default" w:ascii="Times New Roman" w:hAnsi="Times New Roman" w:cs="Times New Roman"/>
                <w:snapToGrid w:val="0"/>
                <w:szCs w:val="21"/>
              </w:rPr>
              <w:t>氨氮</w:t>
            </w:r>
          </w:p>
        </w:tc>
        <w:tc>
          <w:tcPr>
            <w:tcW w:w="1991"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纳氏试剂分光光度法</w:t>
            </w:r>
          </w:p>
        </w:tc>
        <w:tc>
          <w:tcPr>
            <w:tcW w:w="5839" w:type="dxa"/>
            <w:vAlign w:val="center"/>
          </w:tcPr>
          <w:p>
            <w:pPr>
              <w:suppressAutoHyphens/>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水质 氨氮的测定 纳氏试剂分光光度法HJ 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545" w:type="dxa"/>
            <w:vMerge w:val="continue"/>
            <w:vAlign w:val="center"/>
          </w:tcPr>
          <w:p>
            <w:pPr>
              <w:spacing w:line="276" w:lineRule="auto"/>
              <w:jc w:val="center"/>
              <w:rPr>
                <w:rFonts w:hint="default" w:ascii="Times New Roman" w:hAnsi="Times New Roman" w:cs="Times New Roman"/>
                <w:szCs w:val="21"/>
              </w:rPr>
            </w:pPr>
          </w:p>
        </w:tc>
        <w:tc>
          <w:tcPr>
            <w:tcW w:w="1365" w:type="dxa"/>
            <w:vAlign w:val="center"/>
          </w:tcPr>
          <w:p>
            <w:pPr>
              <w:suppressAutoHyphens/>
              <w:spacing w:line="276" w:lineRule="auto"/>
              <w:jc w:val="center"/>
              <w:rPr>
                <w:rFonts w:hint="default" w:ascii="Times New Roman" w:hAnsi="Times New Roman" w:cs="Times New Roman"/>
                <w:szCs w:val="21"/>
              </w:rPr>
            </w:pPr>
            <w:r>
              <w:rPr>
                <w:rFonts w:hint="default" w:ascii="Times New Roman" w:hAnsi="Times New Roman" w:cs="Times New Roman"/>
                <w:snapToGrid w:val="0"/>
                <w:szCs w:val="21"/>
              </w:rPr>
              <w:t>悬浮物</w:t>
            </w:r>
          </w:p>
        </w:tc>
        <w:tc>
          <w:tcPr>
            <w:tcW w:w="1991"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重量法</w:t>
            </w:r>
          </w:p>
        </w:tc>
        <w:tc>
          <w:tcPr>
            <w:tcW w:w="5839"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水质 悬浮物的测定 重量法GB/T 11901 －1989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545" w:type="dxa"/>
            <w:vMerge w:val="continue"/>
            <w:vAlign w:val="center"/>
          </w:tcPr>
          <w:p>
            <w:pPr>
              <w:spacing w:line="276" w:lineRule="auto"/>
              <w:jc w:val="center"/>
              <w:rPr>
                <w:rFonts w:hint="default" w:ascii="Times New Roman" w:hAnsi="Times New Roman" w:cs="Times New Roman"/>
                <w:szCs w:val="21"/>
              </w:rPr>
            </w:pPr>
          </w:p>
        </w:tc>
        <w:tc>
          <w:tcPr>
            <w:tcW w:w="1365" w:type="dxa"/>
            <w:vAlign w:val="center"/>
          </w:tcPr>
          <w:p>
            <w:pPr>
              <w:suppressAutoHyphens/>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化学需氧量</w:t>
            </w:r>
          </w:p>
        </w:tc>
        <w:tc>
          <w:tcPr>
            <w:tcW w:w="1991"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重铬酸盐法</w:t>
            </w:r>
          </w:p>
        </w:tc>
        <w:tc>
          <w:tcPr>
            <w:tcW w:w="5839"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水质 化学需氧量的测定 重铬酸盐法HJ828-2017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545" w:type="dxa"/>
            <w:vMerge w:val="continue"/>
            <w:vAlign w:val="center"/>
          </w:tcPr>
          <w:p>
            <w:pPr>
              <w:spacing w:line="276" w:lineRule="auto"/>
              <w:jc w:val="center"/>
              <w:rPr>
                <w:rFonts w:hint="default" w:ascii="Times New Roman" w:hAnsi="Times New Roman" w:cs="Times New Roman"/>
                <w:szCs w:val="21"/>
              </w:rPr>
            </w:pPr>
          </w:p>
        </w:tc>
        <w:tc>
          <w:tcPr>
            <w:tcW w:w="1365" w:type="dxa"/>
            <w:vAlign w:val="center"/>
          </w:tcPr>
          <w:p>
            <w:pPr>
              <w:suppressAutoHyphens/>
              <w:spacing w:line="276" w:lineRule="auto"/>
              <w:jc w:val="center"/>
              <w:rPr>
                <w:rFonts w:hint="eastAsia" w:ascii="Times New Roman" w:hAnsi="Times New Roman" w:eastAsia="宋体" w:cs="Times New Roman"/>
                <w:snapToGrid w:val="0"/>
                <w:szCs w:val="21"/>
                <w:lang w:eastAsia="zh-CN"/>
              </w:rPr>
            </w:pPr>
            <w:r>
              <w:rPr>
                <w:rFonts w:hint="eastAsia" w:cs="Times New Roman"/>
                <w:snapToGrid w:val="0"/>
                <w:szCs w:val="21"/>
                <w:lang w:eastAsia="zh-CN"/>
              </w:rPr>
              <w:t>动植物油</w:t>
            </w:r>
          </w:p>
        </w:tc>
        <w:tc>
          <w:tcPr>
            <w:tcW w:w="1991" w:type="dxa"/>
            <w:vAlign w:val="center"/>
          </w:tcPr>
          <w:p>
            <w:pPr>
              <w:spacing w:line="276" w:lineRule="auto"/>
              <w:jc w:val="center"/>
              <w:rPr>
                <w:rFonts w:hint="eastAsia" w:ascii="Times New Roman" w:hAnsi="Times New Roman" w:eastAsia="宋体" w:cs="Times New Roman"/>
                <w:snapToGrid w:val="0"/>
                <w:szCs w:val="21"/>
                <w:lang w:eastAsia="zh-CN"/>
              </w:rPr>
            </w:pPr>
            <w:r>
              <w:rPr>
                <w:rFonts w:hint="default" w:ascii="Times New Roman" w:hAnsi="Times New Roman" w:cs="Times New Roman"/>
                <w:snapToGrid w:val="0"/>
                <w:szCs w:val="21"/>
              </w:rPr>
              <w:t>红外分光光度</w:t>
            </w:r>
            <w:r>
              <w:rPr>
                <w:rFonts w:hint="eastAsia" w:ascii="Times New Roman" w:hAnsi="Times New Roman" w:cs="Times New Roman"/>
                <w:snapToGrid w:val="0"/>
                <w:szCs w:val="21"/>
                <w:lang w:eastAsia="zh-CN"/>
              </w:rPr>
              <w:t>法</w:t>
            </w:r>
          </w:p>
        </w:tc>
        <w:tc>
          <w:tcPr>
            <w:tcW w:w="5839"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水质 石油类和动植物油类的测定 红外分光光度HJ 637-2012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54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废气</w:t>
            </w:r>
          </w:p>
        </w:tc>
        <w:tc>
          <w:tcPr>
            <w:tcW w:w="1365" w:type="dxa"/>
            <w:vAlign w:val="center"/>
          </w:tcPr>
          <w:p>
            <w:pPr>
              <w:spacing w:line="276" w:lineRule="auto"/>
              <w:jc w:val="center"/>
              <w:rPr>
                <w:rFonts w:hint="default" w:ascii="Times New Roman" w:hAnsi="Times New Roman" w:cs="Times New Roman"/>
                <w:snapToGrid w:val="0"/>
                <w:szCs w:val="21"/>
                <w:lang w:eastAsia="zh-CN"/>
              </w:rPr>
            </w:pPr>
            <w:r>
              <w:rPr>
                <w:rFonts w:hint="default" w:ascii="Times New Roman" w:hAnsi="Times New Roman" w:cs="Times New Roman"/>
                <w:snapToGrid w:val="0"/>
                <w:szCs w:val="21"/>
              </w:rPr>
              <w:t>颗粒物</w:t>
            </w:r>
          </w:p>
        </w:tc>
        <w:tc>
          <w:tcPr>
            <w:tcW w:w="1991" w:type="dxa"/>
            <w:vAlign w:val="center"/>
          </w:tcPr>
          <w:p>
            <w:pPr>
              <w:spacing w:line="276" w:lineRule="auto"/>
              <w:jc w:val="center"/>
              <w:rPr>
                <w:rFonts w:hint="default" w:ascii="Times New Roman" w:hAnsi="Times New Roman" w:eastAsia="宋体" w:cs="Times New Roman"/>
                <w:snapToGrid w:val="0"/>
                <w:szCs w:val="21"/>
                <w:lang w:eastAsia="zh-CN"/>
              </w:rPr>
            </w:pPr>
            <w:r>
              <w:rPr>
                <w:rFonts w:hint="default" w:ascii="Times New Roman" w:hAnsi="Times New Roman" w:cs="Times New Roman"/>
                <w:snapToGrid w:val="0"/>
                <w:szCs w:val="21"/>
              </w:rPr>
              <w:t>重量法</w:t>
            </w:r>
          </w:p>
        </w:tc>
        <w:tc>
          <w:tcPr>
            <w:tcW w:w="5839" w:type="dxa"/>
            <w:vAlign w:val="center"/>
          </w:tcPr>
          <w:p>
            <w:pPr>
              <w:spacing w:line="276" w:lineRule="auto"/>
              <w:jc w:val="center"/>
              <w:rPr>
                <w:rFonts w:hint="default" w:ascii="Times New Roman" w:hAnsi="Times New Roman" w:cs="Times New Roman"/>
                <w:snapToGrid w:val="0"/>
                <w:szCs w:val="21"/>
              </w:rPr>
            </w:pPr>
            <w:r>
              <w:rPr>
                <w:rFonts w:hint="default" w:ascii="Times New Roman" w:hAnsi="Times New Roman" w:cs="Times New Roman"/>
                <w:snapToGrid w:val="0"/>
                <w:szCs w:val="21"/>
              </w:rPr>
              <w:t>环境空气总悬浮颗粒物的测定 重量法GB/T 15432-1995</w:t>
            </w:r>
          </w:p>
        </w:tc>
      </w:tr>
    </w:tbl>
    <w:p>
      <w:pPr>
        <w:pStyle w:val="2"/>
        <w:spacing w:line="360" w:lineRule="auto"/>
        <w:jc w:val="center"/>
        <w:rPr>
          <w:rFonts w:hint="default" w:ascii="Times New Roman" w:hAnsi="Times New Roman" w:cs="Times New Roman"/>
        </w:rPr>
      </w:pPr>
      <w:bookmarkStart w:id="42" w:name="_Toc31241"/>
      <w:bookmarkStart w:id="43" w:name="_Toc28484"/>
      <w:r>
        <w:rPr>
          <w:rFonts w:hint="default" w:ascii="Times New Roman" w:hAnsi="Times New Roman" w:cs="Times New Roman"/>
        </w:rPr>
        <w:br w:type="page"/>
      </w:r>
    </w:p>
    <w:p>
      <w:pPr>
        <w:pStyle w:val="2"/>
        <w:spacing w:line="360" w:lineRule="auto"/>
        <w:jc w:val="center"/>
        <w:rPr>
          <w:rFonts w:hint="default" w:ascii="Times New Roman" w:hAnsi="Times New Roman" w:cs="Times New Roman"/>
        </w:rPr>
      </w:pPr>
      <w:r>
        <w:rPr>
          <w:rFonts w:hint="default" w:ascii="Times New Roman" w:hAnsi="Times New Roman" w:cs="Times New Roman"/>
        </w:rPr>
        <w:t>第8章  环境管理检查</w:t>
      </w:r>
      <w:bookmarkEnd w:id="42"/>
      <w:bookmarkEnd w:id="43"/>
    </w:p>
    <w:p>
      <w:pPr>
        <w:pStyle w:val="3"/>
        <w:spacing w:line="360" w:lineRule="auto"/>
        <w:rPr>
          <w:rFonts w:hint="default" w:ascii="Times New Roman" w:hAnsi="Times New Roman" w:cs="Times New Roman"/>
        </w:rPr>
      </w:pPr>
      <w:bookmarkStart w:id="44" w:name="_Toc32034"/>
      <w:bookmarkStart w:id="45" w:name="_Toc3939"/>
      <w:r>
        <w:rPr>
          <w:rFonts w:hint="default" w:ascii="Times New Roman" w:hAnsi="Times New Roman" w:cs="Times New Roman"/>
        </w:rPr>
        <w:t>8.1项目环境管理执行基本情况</w:t>
      </w:r>
      <w:bookmarkEnd w:id="44"/>
      <w:bookmarkEnd w:id="45"/>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根据国家建设项目环境管理有关规定和浙江省环境保护厅的有关要求，杭州名井精密机械有限公司新建项目环境影响审批手续，执行了建设项目环境保护“三同时”的有关要求。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color w:val="auto"/>
          <w:sz w:val="24"/>
          <w:szCs w:val="24"/>
        </w:rPr>
        <w:t>项目实际总投资</w:t>
      </w:r>
      <w:r>
        <w:rPr>
          <w:rFonts w:hint="eastAsia" w:cs="Times New Roman"/>
          <w:color w:val="auto"/>
          <w:sz w:val="24"/>
          <w:szCs w:val="24"/>
          <w:lang w:val="en-US" w:eastAsia="zh-CN"/>
        </w:rPr>
        <w:t>20</w:t>
      </w:r>
      <w:r>
        <w:rPr>
          <w:rFonts w:hint="default" w:ascii="Times New Roman" w:hAnsi="Times New Roman" w:cs="Times New Roman"/>
          <w:color w:val="auto"/>
          <w:sz w:val="24"/>
          <w:szCs w:val="24"/>
        </w:rPr>
        <w:t>万元，其中环保投资</w:t>
      </w:r>
      <w:r>
        <w:rPr>
          <w:rFonts w:hint="eastAsia" w:cs="Times New Roman"/>
          <w:color w:val="auto"/>
          <w:sz w:val="24"/>
          <w:szCs w:val="24"/>
          <w:lang w:val="en-US" w:eastAsia="zh-CN"/>
        </w:rPr>
        <w:t>3</w:t>
      </w:r>
      <w:r>
        <w:rPr>
          <w:rFonts w:hint="default" w:ascii="Times New Roman" w:hAnsi="Times New Roman" w:cs="Times New Roman"/>
          <w:color w:val="auto"/>
          <w:sz w:val="24"/>
          <w:szCs w:val="24"/>
        </w:rPr>
        <w:t>万元，占实际总投资的</w:t>
      </w:r>
      <w:r>
        <w:rPr>
          <w:rFonts w:hint="eastAsia" w:cs="Times New Roman"/>
          <w:color w:val="auto"/>
          <w:sz w:val="24"/>
          <w:szCs w:val="24"/>
          <w:lang w:val="en-US" w:eastAsia="zh-CN"/>
        </w:rPr>
        <w:t>15</w:t>
      </w:r>
      <w:r>
        <w:rPr>
          <w:rFonts w:hint="default" w:ascii="Times New Roman" w:hAnsi="Times New Roman" w:cs="Times New Roman"/>
          <w:color w:val="auto"/>
          <w:sz w:val="24"/>
          <w:szCs w:val="24"/>
        </w:rPr>
        <w:t>%，基本</w:t>
      </w:r>
      <w:r>
        <w:rPr>
          <w:rFonts w:hint="default" w:ascii="Times New Roman" w:hAnsi="Times New Roman" w:cs="Times New Roman"/>
          <w:sz w:val="24"/>
          <w:szCs w:val="24"/>
        </w:rPr>
        <w:t>完成已建项目相关环保设施和有关措施，环保设施在生产过程中运行稳定。</w:t>
      </w:r>
      <w:bookmarkStart w:id="46" w:name="_Toc32645"/>
    </w:p>
    <w:p>
      <w:pPr>
        <w:pStyle w:val="3"/>
        <w:spacing w:line="360" w:lineRule="auto"/>
        <w:rPr>
          <w:rFonts w:hint="default" w:ascii="Times New Roman" w:hAnsi="Times New Roman" w:cs="Times New Roman"/>
        </w:rPr>
      </w:pPr>
      <w:bookmarkStart w:id="47" w:name="_Toc14387"/>
      <w:r>
        <w:rPr>
          <w:rFonts w:hint="default" w:ascii="Times New Roman" w:hAnsi="Times New Roman" w:cs="Times New Roman"/>
        </w:rPr>
        <w:t>8.2环评批复落实情况</w:t>
      </w:r>
      <w:bookmarkEnd w:id="46"/>
      <w:bookmarkEnd w:id="47"/>
    </w:p>
    <w:p>
      <w:pPr>
        <w:spacing w:line="360" w:lineRule="auto"/>
        <w:ind w:firstLine="480" w:firstLineChars="200"/>
        <w:rPr>
          <w:rFonts w:hint="default" w:ascii="Times New Roman" w:hAnsi="Times New Roman" w:cs="Times New Roman"/>
          <w:b/>
          <w:szCs w:val="21"/>
        </w:rPr>
      </w:pPr>
      <w:r>
        <w:rPr>
          <w:rFonts w:hint="default" w:ascii="Times New Roman" w:hAnsi="Times New Roman" w:cs="Times New Roman"/>
          <w:sz w:val="24"/>
          <w:szCs w:val="24"/>
        </w:rPr>
        <w:t>环评批复要求的实际落实情况见表8-1。</w:t>
      </w:r>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表8-1环评批复要求的实际落实情况</w:t>
      </w:r>
    </w:p>
    <w:tbl>
      <w:tblPr>
        <w:tblStyle w:val="25"/>
        <w:tblW w:w="8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122"/>
        <w:gridCol w:w="4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640"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序号</w:t>
            </w:r>
          </w:p>
        </w:tc>
        <w:tc>
          <w:tcPr>
            <w:tcW w:w="4122" w:type="dxa"/>
            <w:vAlign w:val="center"/>
          </w:tcPr>
          <w:p>
            <w:pPr>
              <w:spacing w:line="276" w:lineRule="auto"/>
              <w:jc w:val="center"/>
              <w:rPr>
                <w:rFonts w:hint="default" w:ascii="Times New Roman" w:hAnsi="Times New Roman" w:cs="Times New Roman"/>
                <w:szCs w:val="21"/>
                <w:highlight w:val="yellow"/>
              </w:rPr>
            </w:pPr>
            <w:r>
              <w:rPr>
                <w:rFonts w:hint="default" w:ascii="Times New Roman" w:hAnsi="Times New Roman" w:cs="Times New Roman"/>
                <w:szCs w:val="21"/>
              </w:rPr>
              <w:t>环评批复要求</w:t>
            </w:r>
          </w:p>
        </w:tc>
        <w:tc>
          <w:tcPr>
            <w:tcW w:w="4123" w:type="dxa"/>
            <w:vAlign w:val="center"/>
          </w:tcPr>
          <w:p>
            <w:pPr>
              <w:spacing w:line="276" w:lineRule="auto"/>
              <w:jc w:val="center"/>
              <w:rPr>
                <w:rFonts w:hint="default" w:ascii="Times New Roman" w:hAnsi="Times New Roman" w:cs="Times New Roman"/>
                <w:szCs w:val="21"/>
                <w:highlight w:val="yellow"/>
              </w:rPr>
            </w:pPr>
            <w:r>
              <w:rPr>
                <w:rFonts w:hint="default" w:ascii="Times New Roman" w:hAnsi="Times New Roman" w:cs="Times New Roman"/>
                <w:szCs w:val="21"/>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trPr>
        <w:tc>
          <w:tcPr>
            <w:tcW w:w="640"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122"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项目建设地点：萧山区河上镇紫霞村。</w:t>
            </w:r>
          </w:p>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项目建设规模：年产平面磨床50台、机械设备30台、五金机械配件10吨。</w:t>
            </w:r>
          </w:p>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项目设备情况：主要设备为磨床</w:t>
            </w:r>
            <w:r>
              <w:rPr>
                <w:rFonts w:hint="eastAsia" w:cs="Times New Roman"/>
                <w:szCs w:val="21"/>
                <w:lang w:val="en-US" w:eastAsia="zh-CN"/>
              </w:rPr>
              <w:t>1</w:t>
            </w:r>
            <w:r>
              <w:rPr>
                <w:rFonts w:hint="eastAsia" w:ascii="Times New Roman" w:hAnsi="Times New Roman" w:cs="Times New Roman"/>
                <w:szCs w:val="21"/>
                <w:lang w:val="en-US" w:eastAsia="zh-CN"/>
              </w:rPr>
              <w:t>台、</w:t>
            </w:r>
            <w:r>
              <w:rPr>
                <w:szCs w:val="21"/>
              </w:rPr>
              <w:t>钻床</w:t>
            </w:r>
            <w:r>
              <w:rPr>
                <w:rFonts w:hint="eastAsia" w:ascii="Times New Roman" w:hAnsi="Times New Roman" w:cs="Times New Roman"/>
                <w:lang w:val="en-US" w:eastAsia="zh-CN"/>
              </w:rPr>
              <w:t>1</w:t>
            </w:r>
            <w:r>
              <w:rPr>
                <w:rFonts w:hint="eastAsia" w:ascii="Times New Roman" w:hAnsi="Times New Roman" w:cs="Times New Roman"/>
                <w:szCs w:val="21"/>
                <w:lang w:val="en-US" w:eastAsia="zh-CN"/>
              </w:rPr>
              <w:t>台、普通车床</w:t>
            </w:r>
            <w:r>
              <w:rPr>
                <w:rFonts w:hint="eastAsia" w:ascii="Times New Roman" w:hAnsi="Times New Roman" w:cs="Times New Roman"/>
                <w:lang w:val="en-US" w:eastAsia="zh-CN"/>
              </w:rPr>
              <w:t>1</w:t>
            </w:r>
            <w:r>
              <w:rPr>
                <w:rFonts w:hint="eastAsia" w:ascii="Times New Roman" w:hAnsi="Times New Roman" w:cs="Times New Roman"/>
                <w:szCs w:val="21"/>
                <w:lang w:val="en-US" w:eastAsia="zh-CN"/>
              </w:rPr>
              <w:t>台</w:t>
            </w:r>
            <w:r>
              <w:rPr>
                <w:rFonts w:hint="default" w:ascii="Times New Roman" w:hAnsi="Times New Roman" w:cs="Times New Roman"/>
                <w:szCs w:val="21"/>
              </w:rPr>
              <w:t>。</w:t>
            </w:r>
          </w:p>
        </w:tc>
        <w:tc>
          <w:tcPr>
            <w:tcW w:w="4123"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已落实。</w:t>
            </w:r>
          </w:p>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项目建</w:t>
            </w:r>
            <w:r>
              <w:rPr>
                <w:rFonts w:hint="default" w:ascii="Times New Roman" w:hAnsi="Times New Roman" w:cs="Times New Roman"/>
                <w:color w:val="auto"/>
                <w:szCs w:val="21"/>
              </w:rPr>
              <w:t>设地与环评相符。</w:t>
            </w:r>
            <w:r>
              <w:rPr>
                <w:rFonts w:hint="default" w:ascii="Times New Roman" w:hAnsi="Times New Roman" w:cs="Times New Roman"/>
                <w:color w:val="auto"/>
                <w:szCs w:val="21"/>
                <w:lang w:eastAsia="zh-CN"/>
              </w:rPr>
              <w:t>实际生产规模为年产平面磨床50台、机械设备30台、五金机械配件10吨。</w:t>
            </w:r>
            <w:r>
              <w:rPr>
                <w:rFonts w:hint="default" w:ascii="Times New Roman" w:hAnsi="Times New Roman" w:cs="Times New Roman"/>
                <w:color w:val="auto"/>
                <w:szCs w:val="21"/>
              </w:rPr>
              <w:t>实际</w:t>
            </w:r>
            <w:r>
              <w:rPr>
                <w:rFonts w:hint="default" w:ascii="Times New Roman" w:hAnsi="Times New Roman" w:cs="Times New Roman"/>
                <w:szCs w:val="21"/>
              </w:rPr>
              <w:t>生产设备见表3-1。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trPr>
        <w:tc>
          <w:tcPr>
            <w:tcW w:w="640"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122"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实行雨污分流、清污分流，生活污水必须经处理达到《污水综合排放标准》（GB8978-1996）一级标准后方可排放；待具备纳管条件后则预处理达到《污水综合排放标准》（GB8978-1996）三级标准后纳入城市污水管网。</w:t>
            </w:r>
          </w:p>
        </w:tc>
        <w:tc>
          <w:tcPr>
            <w:tcW w:w="4123"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已落实。</w:t>
            </w:r>
          </w:p>
          <w:p>
            <w:pPr>
              <w:spacing w:line="276" w:lineRule="auto"/>
              <w:ind w:firstLine="420" w:firstLineChars="200"/>
              <w:rPr>
                <w:rFonts w:hint="default" w:ascii="Times New Roman" w:hAnsi="Times New Roman" w:cs="Times New Roman"/>
                <w:szCs w:val="21"/>
                <w:lang w:eastAsia="zh-CN"/>
              </w:rPr>
            </w:pPr>
            <w:r>
              <w:rPr>
                <w:rFonts w:hint="default" w:ascii="Times New Roman" w:hAnsi="Times New Roman" w:cs="Times New Roman"/>
                <w:szCs w:val="21"/>
                <w:lang w:eastAsia="zh-CN"/>
              </w:rPr>
              <w:t>本项目废水主要为生活污水。</w:t>
            </w:r>
          </w:p>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生活污水</w:t>
            </w:r>
            <w:r>
              <w:rPr>
                <w:rFonts w:hint="default" w:ascii="Times New Roman" w:hAnsi="Times New Roman" w:cs="Times New Roman"/>
                <w:szCs w:val="21"/>
              </w:rPr>
              <w:t>经化粪池预处理后，达到《污水综合排放标准》（GB8978-1996）中的</w:t>
            </w:r>
            <w:r>
              <w:rPr>
                <w:rFonts w:hint="default" w:ascii="Times New Roman" w:hAnsi="Times New Roman" w:cs="Times New Roman"/>
                <w:szCs w:val="21"/>
                <w:lang w:eastAsia="zh-CN"/>
              </w:rPr>
              <w:t>三</w:t>
            </w:r>
            <w:r>
              <w:rPr>
                <w:rFonts w:hint="default" w:ascii="Times New Roman" w:hAnsi="Times New Roman" w:cs="Times New Roman"/>
                <w:szCs w:val="21"/>
              </w:rPr>
              <w:t>级排放标准后</w:t>
            </w:r>
            <w:r>
              <w:rPr>
                <w:rFonts w:hint="default" w:ascii="Times New Roman" w:hAnsi="Times New Roman" w:cs="Times New Roman"/>
                <w:szCs w:val="21"/>
                <w:lang w:eastAsia="zh-CN"/>
              </w:rPr>
              <w:t>纳管至</w:t>
            </w:r>
            <w:r>
              <w:rPr>
                <w:rFonts w:hint="default" w:ascii="Times New Roman" w:hAnsi="Times New Roman" w:cs="Times New Roman"/>
                <w:szCs w:val="21"/>
              </w:rPr>
              <w:t>污水处理厂。</w:t>
            </w:r>
          </w:p>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监测日，</w:t>
            </w:r>
            <w:r>
              <w:rPr>
                <w:rFonts w:hint="default" w:ascii="Times New Roman" w:hAnsi="Times New Roman" w:cs="Times New Roman"/>
                <w:szCs w:val="21"/>
                <w:lang w:val="en-US" w:eastAsia="zh-CN"/>
              </w:rPr>
              <w:t>废水总排口中pH、悬浮物、化学需氧量、动植物油均《污水综合排放标准》（GB 8978-1996）中的三级排放标准，其中氨氮符合《工业企业废水氮、磷污染物间接排放限值》（DB33/887-2013）中的限值要求。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atLeast"/>
        </w:trPr>
        <w:tc>
          <w:tcPr>
            <w:tcW w:w="640"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4122"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工艺粉尘须配套收集处理设施，经治理达到《大气污染物综合排放标准》（GB16297-1996）中二级标准后排放。</w:t>
            </w:r>
          </w:p>
        </w:tc>
        <w:tc>
          <w:tcPr>
            <w:tcW w:w="4123"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已落实。</w:t>
            </w:r>
          </w:p>
          <w:p>
            <w:pPr>
              <w:spacing w:line="276" w:lineRule="auto"/>
              <w:ind w:firstLine="420" w:firstLineChars="200"/>
              <w:rPr>
                <w:rFonts w:hint="default" w:ascii="Times New Roman" w:hAnsi="Times New Roman" w:cs="Times New Roman"/>
                <w:szCs w:val="21"/>
                <w:lang w:eastAsia="zh-CN"/>
              </w:rPr>
            </w:pPr>
            <w:r>
              <w:rPr>
                <w:rFonts w:hint="default" w:ascii="Times New Roman" w:hAnsi="Times New Roman" w:cs="Times New Roman"/>
                <w:szCs w:val="21"/>
                <w:lang w:eastAsia="zh-CN"/>
              </w:rPr>
              <w:t>项目粉尘沉降在设备周围，企业及时清扫。</w:t>
            </w:r>
          </w:p>
          <w:p>
            <w:pPr>
              <w:spacing w:line="276" w:lineRule="auto"/>
              <w:ind w:firstLine="420" w:firstLineChars="200"/>
              <w:rPr>
                <w:rFonts w:hint="default" w:ascii="Times New Roman" w:hAnsi="Times New Roman" w:cs="Times New Roman"/>
                <w:szCs w:val="21"/>
                <w:lang w:eastAsia="zh-CN"/>
              </w:rPr>
            </w:pPr>
            <w:r>
              <w:rPr>
                <w:rFonts w:hint="default" w:ascii="Times New Roman" w:hAnsi="Times New Roman" w:cs="Times New Roman"/>
                <w:szCs w:val="21"/>
              </w:rPr>
              <w:t>监测日，</w:t>
            </w:r>
            <w:r>
              <w:rPr>
                <w:rFonts w:hint="default" w:ascii="Times New Roman" w:hAnsi="Times New Roman" w:cs="Times New Roman"/>
                <w:szCs w:val="21"/>
                <w:lang w:val="en-US" w:eastAsia="zh-CN"/>
              </w:rPr>
              <w:t>厂界西北无组织排放的颗粒物最高点浓度值符合《大气污染物综合排放标准》（GB 16297-1996）中的限值要求。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640"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4122"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厂内高噪声设备必须合理布局，远离敏感点。采取隔声降噪减振措施，确保厂界噪声、振动达标。未经许可，夜间禁止作业。</w:t>
            </w:r>
          </w:p>
        </w:tc>
        <w:tc>
          <w:tcPr>
            <w:tcW w:w="4123" w:type="dxa"/>
            <w:vAlign w:val="center"/>
          </w:tcPr>
          <w:p>
            <w:pPr>
              <w:spacing w:line="276"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640" w:type="dxa"/>
            <w:vAlign w:val="center"/>
          </w:tcPr>
          <w:p>
            <w:pPr>
              <w:spacing w:line="276"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w:t>
            </w:r>
          </w:p>
        </w:tc>
        <w:tc>
          <w:tcPr>
            <w:tcW w:w="4122"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固体废弃物必须分类妥善处置，禁止焚烧、丢弃，不得产生二次污染，危险废物（废切削液、废机油）必须委托有资质单位进行无害化处理。</w:t>
            </w:r>
          </w:p>
        </w:tc>
        <w:tc>
          <w:tcPr>
            <w:tcW w:w="4123" w:type="dxa"/>
            <w:vAlign w:val="center"/>
          </w:tcPr>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rPr>
              <w:t>已落实。</w:t>
            </w:r>
          </w:p>
          <w:p>
            <w:pPr>
              <w:spacing w:line="276"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本项目投产后，金属边角料由物资回收公司回收利用；生活垃圾由环卫部门统一清运处理；废机油、废切削液委托</w:t>
            </w:r>
            <w:r>
              <w:rPr>
                <w:rFonts w:hint="eastAsia" w:cs="Times New Roman"/>
                <w:szCs w:val="21"/>
                <w:lang w:eastAsia="zh-CN"/>
              </w:rPr>
              <w:t>杭州立佳环境服务有限公司</w:t>
            </w:r>
            <w:r>
              <w:rPr>
                <w:rFonts w:hint="default" w:ascii="Times New Roman" w:hAnsi="Times New Roman" w:cs="Times New Roman"/>
                <w:szCs w:val="21"/>
                <w:lang w:eastAsia="zh-CN"/>
              </w:rPr>
              <w:t>定期清运处理。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640" w:type="dxa"/>
            <w:vAlign w:val="center"/>
          </w:tcPr>
          <w:p>
            <w:pPr>
              <w:spacing w:line="27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6</w:t>
            </w:r>
          </w:p>
        </w:tc>
        <w:tc>
          <w:tcPr>
            <w:tcW w:w="4122" w:type="dxa"/>
            <w:vAlign w:val="center"/>
          </w:tcPr>
          <w:p>
            <w:pPr>
              <w:spacing w:line="276" w:lineRule="auto"/>
              <w:ind w:firstLine="420" w:firstLineChars="200"/>
              <w:rPr>
                <w:rFonts w:hint="eastAsia" w:ascii="Times New Roman" w:hAnsi="Times New Roman" w:eastAsia="宋体" w:cs="Times New Roman"/>
                <w:color w:val="0000FF"/>
                <w:szCs w:val="21"/>
                <w:lang w:eastAsia="zh-CN"/>
              </w:rPr>
            </w:pPr>
            <w:r>
              <w:rPr>
                <w:rFonts w:hint="default" w:ascii="Times New Roman" w:hAnsi="Times New Roman" w:cs="Times New Roman"/>
                <w:szCs w:val="21"/>
              </w:rPr>
              <w:t>严格落实污染物排放总量控制措施，使污染物排放总量控制在环评确定的指标内，即全厂主要污染物</w:t>
            </w:r>
            <w:r>
              <w:rPr>
                <w:rFonts w:hint="default" w:ascii="Times New Roman" w:hAnsi="Times New Roman" w:cs="Times New Roman"/>
                <w:szCs w:val="21"/>
                <w:lang w:val="en-US" w:eastAsia="zh-CN"/>
              </w:rPr>
              <w:t>CODcr</w:t>
            </w:r>
            <w:r>
              <w:rPr>
                <w:rFonts w:hint="default" w:ascii="Times New Roman" w:hAnsi="Times New Roman" w:cs="Times New Roman"/>
                <w:szCs w:val="21"/>
              </w:rPr>
              <w:t>控制在</w:t>
            </w:r>
            <w:r>
              <w:rPr>
                <w:rFonts w:hint="eastAsia" w:ascii="Times New Roman" w:hAnsi="Times New Roman" w:cs="Times New Roman"/>
                <w:szCs w:val="21"/>
                <w:lang w:val="en-US" w:eastAsia="zh-CN"/>
              </w:rPr>
              <w:t>0.0072</w:t>
            </w:r>
            <w:r>
              <w:rPr>
                <w:rFonts w:hint="default" w:ascii="Times New Roman" w:hAnsi="Times New Roman" w:cs="Times New Roman"/>
                <w:szCs w:val="21"/>
              </w:rPr>
              <w:t>t/a</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NH</w:t>
            </w:r>
            <w:r>
              <w:rPr>
                <w:rFonts w:hint="default" w:ascii="Times New Roman" w:hAnsi="Times New Roman" w:cs="Times New Roman"/>
                <w:szCs w:val="21"/>
                <w:vertAlign w:val="subscript"/>
                <w:lang w:val="en-US" w:eastAsia="zh-CN"/>
              </w:rPr>
              <w:t>3</w:t>
            </w:r>
            <w:r>
              <w:rPr>
                <w:rFonts w:hint="default" w:ascii="Times New Roman" w:hAnsi="Times New Roman" w:cs="Times New Roman"/>
                <w:szCs w:val="21"/>
                <w:lang w:val="en-US" w:eastAsia="zh-CN"/>
              </w:rPr>
              <w:t>-N控制在</w:t>
            </w:r>
            <w:r>
              <w:rPr>
                <w:rFonts w:hint="eastAsia" w:ascii="Times New Roman" w:hAnsi="Times New Roman" w:cs="Times New Roman"/>
                <w:szCs w:val="21"/>
                <w:lang w:val="en-US" w:eastAsia="zh-CN"/>
              </w:rPr>
              <w:t>0.0011</w:t>
            </w:r>
            <w:r>
              <w:rPr>
                <w:rFonts w:hint="default" w:ascii="Times New Roman" w:hAnsi="Times New Roman" w:cs="Times New Roman"/>
                <w:szCs w:val="21"/>
              </w:rPr>
              <w:t>t/a。</w:t>
            </w:r>
          </w:p>
        </w:tc>
        <w:tc>
          <w:tcPr>
            <w:tcW w:w="4123" w:type="dxa"/>
            <w:vAlign w:val="center"/>
          </w:tcPr>
          <w:p>
            <w:pPr>
              <w:spacing w:line="276" w:lineRule="auto"/>
              <w:ind w:firstLine="420" w:firstLineChars="200"/>
              <w:rPr>
                <w:rFonts w:hint="default" w:ascii="Times New Roman" w:hAnsi="Times New Roman" w:eastAsia="宋体" w:cs="Times New Roman"/>
                <w:lang w:val="en-US" w:eastAsia="zh-CN"/>
              </w:rPr>
            </w:pPr>
            <w:r>
              <w:rPr>
                <w:rFonts w:hint="default" w:ascii="Times New Roman" w:hAnsi="Times New Roman" w:cs="Times New Roman"/>
                <w:szCs w:val="21"/>
              </w:rPr>
              <w:t>已落实。</w:t>
            </w:r>
          </w:p>
          <w:p>
            <w:pPr>
              <w:pStyle w:val="8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center"/>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废水</w:t>
            </w:r>
          </w:p>
          <w:p>
            <w:pPr>
              <w:spacing w:line="276" w:lineRule="auto"/>
              <w:ind w:firstLine="420" w:firstLineChars="20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根据杭州名井精密机械有限公司新建项目废水排放量和企业排入</w:t>
            </w:r>
            <w:r>
              <w:rPr>
                <w:rFonts w:hint="eastAsia" w:ascii="Times New Roman" w:hAnsi="Times New Roman" w:cs="Times New Roman"/>
                <w:color w:val="auto"/>
                <w:szCs w:val="21"/>
                <w:lang w:val="en-US" w:eastAsia="zh-CN"/>
              </w:rPr>
              <w:t>的</w:t>
            </w:r>
            <w:r>
              <w:rPr>
                <w:rFonts w:hint="default" w:ascii="Times New Roman" w:hAnsi="Times New Roman" w:cs="Times New Roman"/>
                <w:color w:val="auto"/>
                <w:szCs w:val="21"/>
                <w:lang w:val="en-US" w:eastAsia="zh-CN"/>
              </w:rPr>
              <w:t>城市污水处理厂的排放标准（执行《污水综合排放标准》（GB8978-1996）一级排放标准；化学需氧量≤100mg/L，氨氮≤15mg/L），计算得企业废水污染因子环境排放量：</w:t>
            </w:r>
          </w:p>
          <w:p>
            <w:pPr>
              <w:spacing w:line="276" w:lineRule="auto"/>
              <w:ind w:firstLine="420" w:firstLineChars="200"/>
              <w:rPr>
                <w:rFonts w:hint="eastAsia" w:ascii="Times New Roman" w:hAnsi="Times New Roman" w:eastAsia="宋体" w:cs="Times New Roman"/>
                <w:color w:val="0000FF"/>
                <w:szCs w:val="21"/>
                <w:lang w:eastAsia="zh-CN"/>
              </w:rPr>
            </w:pPr>
            <w:r>
              <w:rPr>
                <w:rFonts w:hint="default" w:ascii="Times New Roman" w:hAnsi="Times New Roman" w:cs="Times New Roman"/>
                <w:color w:val="auto"/>
                <w:szCs w:val="21"/>
                <w:lang w:val="en-US" w:eastAsia="zh-CN"/>
              </w:rPr>
              <w:t>化学需氧量年排环境量为</w:t>
            </w:r>
            <w:r>
              <w:rPr>
                <w:rFonts w:hint="eastAsia" w:cs="Times New Roman"/>
                <w:color w:val="auto"/>
                <w:szCs w:val="21"/>
                <w:lang w:val="en-US" w:eastAsia="zh-CN"/>
              </w:rPr>
              <w:t>0.0068</w:t>
            </w:r>
            <w:r>
              <w:rPr>
                <w:rFonts w:hint="default" w:ascii="Times New Roman" w:hAnsi="Times New Roman" w:cs="Times New Roman"/>
                <w:color w:val="auto"/>
                <w:szCs w:val="21"/>
                <w:lang w:val="en-US" w:eastAsia="zh-CN"/>
              </w:rPr>
              <w:t>吨，氨氮年排环境量为0.0</w:t>
            </w:r>
            <w:r>
              <w:rPr>
                <w:rFonts w:hint="eastAsia" w:cs="Times New Roman"/>
                <w:color w:val="auto"/>
                <w:szCs w:val="21"/>
                <w:lang w:val="en-US" w:eastAsia="zh-CN"/>
              </w:rPr>
              <w:t>010</w:t>
            </w:r>
            <w:r>
              <w:rPr>
                <w:rFonts w:hint="default" w:ascii="Times New Roman" w:hAnsi="Times New Roman" w:cs="Times New Roman"/>
                <w:color w:val="auto"/>
                <w:szCs w:val="21"/>
                <w:lang w:val="en-US" w:eastAsia="zh-CN"/>
              </w:rPr>
              <w:t>吨，符合总量控制标准（杭州名井精密机械有限公司新建项目年排化学需氧量≤</w:t>
            </w:r>
            <w:r>
              <w:rPr>
                <w:rFonts w:hint="eastAsia" w:ascii="Times New Roman" w:hAnsi="Times New Roman" w:cs="Times New Roman"/>
                <w:color w:val="auto"/>
                <w:szCs w:val="21"/>
                <w:lang w:val="en-US" w:eastAsia="zh-CN"/>
              </w:rPr>
              <w:t>0.0072</w:t>
            </w:r>
            <w:r>
              <w:rPr>
                <w:rFonts w:hint="default" w:ascii="Times New Roman" w:hAnsi="Times New Roman" w:cs="Times New Roman"/>
                <w:color w:val="auto"/>
                <w:szCs w:val="21"/>
                <w:lang w:val="en-US" w:eastAsia="zh-CN"/>
              </w:rPr>
              <w:t>t/a，氨氮≤</w:t>
            </w:r>
            <w:r>
              <w:rPr>
                <w:rFonts w:hint="eastAsia" w:ascii="Times New Roman" w:hAnsi="Times New Roman" w:cs="Times New Roman"/>
                <w:color w:val="auto"/>
                <w:szCs w:val="21"/>
                <w:lang w:val="en-US" w:eastAsia="zh-CN"/>
              </w:rPr>
              <w:t>0.0011</w:t>
            </w:r>
            <w:r>
              <w:rPr>
                <w:rFonts w:hint="eastAsia" w:cs="Times New Roman"/>
                <w:color w:val="auto"/>
                <w:szCs w:val="21"/>
                <w:lang w:val="en-US" w:eastAsia="zh-CN"/>
              </w:rPr>
              <w:t>t</w:t>
            </w:r>
            <w:r>
              <w:rPr>
                <w:rFonts w:hint="default" w:ascii="Times New Roman" w:hAnsi="Times New Roman" w:cs="Times New Roman"/>
                <w:color w:val="auto"/>
                <w:szCs w:val="21"/>
                <w:lang w:val="en-US" w:eastAsia="zh-CN"/>
              </w:rPr>
              <w:t>/a）。</w:t>
            </w:r>
          </w:p>
        </w:tc>
      </w:tr>
    </w:tbl>
    <w:p>
      <w:pPr>
        <w:rPr>
          <w:rFonts w:hint="default" w:ascii="Times New Roman" w:hAnsi="Times New Roman" w:cs="Times New Roman"/>
        </w:rPr>
      </w:pPr>
      <w:bookmarkStart w:id="48" w:name="_Toc22789"/>
    </w:p>
    <w:p>
      <w:pPr>
        <w:rPr>
          <w:rFonts w:hint="default" w:ascii="Times New Roman" w:hAnsi="Times New Roman" w:cs="Times New Roman"/>
        </w:rPr>
      </w:pPr>
    </w:p>
    <w:p>
      <w:pPr>
        <w:pStyle w:val="2"/>
        <w:spacing w:line="360" w:lineRule="auto"/>
        <w:rPr>
          <w:rFonts w:hint="default" w:ascii="Times New Roman" w:hAnsi="Times New Roman" w:cs="Times New Roman"/>
        </w:rPr>
      </w:pPr>
      <w:bookmarkStart w:id="49" w:name="_Toc4335"/>
      <w:r>
        <w:rPr>
          <w:rFonts w:hint="default" w:ascii="Times New Roman" w:hAnsi="Times New Roman" w:cs="Times New Roman"/>
        </w:rPr>
        <w:br w:type="page"/>
      </w:r>
    </w:p>
    <w:p>
      <w:pPr>
        <w:pStyle w:val="2"/>
        <w:spacing w:line="360" w:lineRule="auto"/>
        <w:rPr>
          <w:rFonts w:hint="default" w:ascii="Times New Roman" w:hAnsi="Times New Roman" w:cs="Times New Roman"/>
        </w:rPr>
      </w:pPr>
      <w:r>
        <w:rPr>
          <w:rFonts w:hint="default" w:ascii="Times New Roman" w:hAnsi="Times New Roman" w:cs="Times New Roman"/>
        </w:rPr>
        <w:t>第9章  验收监测结论和建议</w:t>
      </w:r>
      <w:bookmarkEnd w:id="48"/>
      <w:bookmarkEnd w:id="49"/>
    </w:p>
    <w:p>
      <w:pPr>
        <w:pStyle w:val="3"/>
        <w:spacing w:line="360" w:lineRule="auto"/>
        <w:rPr>
          <w:rFonts w:hint="default" w:ascii="Times New Roman" w:hAnsi="Times New Roman" w:cs="Times New Roman"/>
        </w:rPr>
      </w:pPr>
      <w:bookmarkStart w:id="50" w:name="_Toc24443"/>
      <w:bookmarkStart w:id="51" w:name="_Toc294"/>
      <w:r>
        <w:rPr>
          <w:rFonts w:hint="default" w:ascii="Times New Roman" w:hAnsi="Times New Roman" w:cs="Times New Roman"/>
        </w:rPr>
        <w:t>9.1结论</w:t>
      </w:r>
      <w:bookmarkEnd w:id="50"/>
      <w:bookmarkEnd w:id="51"/>
    </w:p>
    <w:p>
      <w:pPr>
        <w:pStyle w:val="68"/>
        <w:rPr>
          <w:rFonts w:hint="default" w:ascii="Times New Roman" w:hAnsi="Times New Roman" w:cs="Times New Roman"/>
        </w:rPr>
      </w:pPr>
      <w:r>
        <w:rPr>
          <w:rFonts w:hint="default" w:ascii="Times New Roman" w:hAnsi="Times New Roman" w:cs="Times New Roman"/>
        </w:rPr>
        <w:t>9.1.1环境保护执行情况</w:t>
      </w:r>
    </w:p>
    <w:p>
      <w:pPr>
        <w:spacing w:line="360" w:lineRule="auto"/>
        <w:ind w:left="1" w:firstLine="484" w:firstLineChars="202"/>
        <w:rPr>
          <w:rFonts w:hint="default" w:ascii="Times New Roman" w:hAnsi="Times New Roman" w:cs="Times New Roman"/>
          <w:sz w:val="24"/>
          <w:szCs w:val="24"/>
        </w:rPr>
      </w:pPr>
      <w:r>
        <w:rPr>
          <w:rFonts w:hint="default" w:ascii="Times New Roman" w:hAnsi="Times New Roman" w:cs="Times New Roman"/>
          <w:sz w:val="24"/>
          <w:szCs w:val="24"/>
        </w:rPr>
        <w:t>杭州名井精密机械有限公司在项目建设中基本履行了环境影响评价制度，环境保护审批手续较为齐全。</w:t>
      </w:r>
    </w:p>
    <w:p>
      <w:pPr>
        <w:spacing w:line="360" w:lineRule="auto"/>
        <w:ind w:left="1" w:firstLine="484" w:firstLineChars="202"/>
        <w:rPr>
          <w:rFonts w:hint="default" w:ascii="Times New Roman" w:hAnsi="Times New Roman" w:cs="Times New Roman"/>
          <w:sz w:val="24"/>
          <w:szCs w:val="24"/>
        </w:rPr>
      </w:pPr>
      <w:r>
        <w:rPr>
          <w:rFonts w:hint="default" w:ascii="Times New Roman" w:hAnsi="Times New Roman" w:cs="Times New Roman"/>
          <w:sz w:val="24"/>
          <w:szCs w:val="24"/>
        </w:rPr>
        <w:t>对于建设项目环境影响评价报表及批复文件中的环境保护要求已基本落实。环境保护设施运行和维护基本正常。</w:t>
      </w:r>
    </w:p>
    <w:p>
      <w:pPr>
        <w:spacing w:line="360" w:lineRule="auto"/>
        <w:ind w:left="1" w:firstLine="484" w:firstLineChars="202"/>
        <w:rPr>
          <w:rFonts w:hint="default" w:ascii="Times New Roman" w:hAnsi="Times New Roman" w:cs="Times New Roman"/>
          <w:sz w:val="24"/>
          <w:szCs w:val="24"/>
        </w:rPr>
      </w:pPr>
    </w:p>
    <w:p>
      <w:pPr>
        <w:pStyle w:val="68"/>
        <w:rPr>
          <w:rFonts w:hint="default" w:ascii="Times New Roman" w:hAnsi="Times New Roman" w:cs="Times New Roman"/>
        </w:rPr>
      </w:pPr>
      <w:r>
        <w:rPr>
          <w:rFonts w:hint="default" w:ascii="Times New Roman" w:hAnsi="Times New Roman" w:cs="Times New Roman"/>
        </w:rPr>
        <w:t>9.1.2废水监测结果</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废水总排口中pH、悬浮物、化学需氧量、动植物油均《污水综合排放标准》（GB 8978-1996）中的三级排放标准，其中氨氮符合《工业企业废水氮、磷污染物间接排放限值》（DB33/887-2013）中的限值要求。</w:t>
      </w:r>
    </w:p>
    <w:p>
      <w:pPr>
        <w:spacing w:line="360" w:lineRule="auto"/>
        <w:rPr>
          <w:rFonts w:hint="default" w:ascii="Times New Roman" w:hAnsi="Times New Roman" w:cs="Times New Roman"/>
          <w:sz w:val="24"/>
          <w:szCs w:val="24"/>
        </w:rPr>
      </w:pPr>
    </w:p>
    <w:p>
      <w:pPr>
        <w:pStyle w:val="68"/>
        <w:rPr>
          <w:rFonts w:hint="default" w:ascii="Times New Roman" w:hAnsi="Times New Roman" w:cs="Times New Roman"/>
        </w:rPr>
      </w:pPr>
      <w:r>
        <w:rPr>
          <w:rFonts w:hint="default" w:ascii="Times New Roman" w:hAnsi="Times New Roman" w:cs="Times New Roman"/>
        </w:rPr>
        <w:t>9.1.3废气监测结果</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厂界</w:t>
      </w:r>
      <w:r>
        <w:rPr>
          <w:rFonts w:hint="eastAsia" w:cs="Times New Roman"/>
          <w:sz w:val="24"/>
          <w:szCs w:val="24"/>
          <w:lang w:val="en-US" w:eastAsia="zh-CN"/>
        </w:rPr>
        <w:t>西</w:t>
      </w:r>
      <w:r>
        <w:rPr>
          <w:rFonts w:hint="default" w:ascii="Times New Roman" w:hAnsi="Times New Roman" w:cs="Times New Roman"/>
          <w:sz w:val="24"/>
          <w:szCs w:val="24"/>
          <w:lang w:val="en-US" w:eastAsia="zh-CN"/>
        </w:rPr>
        <w:t>北无组织排放的颗粒物最高点浓度值符合《大气污染物综合排放标准》（GB 16297-1996）中的限值要求。</w:t>
      </w:r>
    </w:p>
    <w:p>
      <w:pPr>
        <w:pStyle w:val="68"/>
        <w:rPr>
          <w:rFonts w:hint="default" w:ascii="Times New Roman" w:hAnsi="Times New Roman" w:cs="Times New Roman"/>
          <w:b w:val="0"/>
          <w:bCs w:val="0"/>
          <w:sz w:val="24"/>
          <w:szCs w:val="24"/>
        </w:rPr>
      </w:pPr>
    </w:p>
    <w:p>
      <w:pPr>
        <w:pStyle w:val="68"/>
        <w:rPr>
          <w:rFonts w:hint="default" w:ascii="Times New Roman" w:hAnsi="Times New Roman" w:cs="Times New Roman"/>
          <w:szCs w:val="22"/>
        </w:rPr>
      </w:pPr>
      <w:r>
        <w:rPr>
          <w:rFonts w:hint="default" w:ascii="Times New Roman" w:hAnsi="Times New Roman" w:cs="Times New Roman"/>
          <w:szCs w:val="22"/>
        </w:rPr>
        <w:t>9.1.</w:t>
      </w:r>
      <w:r>
        <w:rPr>
          <w:rFonts w:hint="default" w:ascii="Times New Roman" w:hAnsi="Times New Roman" w:cs="Times New Roman"/>
          <w:szCs w:val="22"/>
          <w:lang w:val="en-US" w:eastAsia="zh-CN"/>
        </w:rPr>
        <w:t>4</w:t>
      </w:r>
      <w:r>
        <w:rPr>
          <w:rFonts w:hint="default" w:ascii="Times New Roman" w:hAnsi="Times New Roman" w:cs="Times New Roman"/>
          <w:szCs w:val="22"/>
        </w:rPr>
        <w:t>固废评价结果</w:t>
      </w:r>
    </w:p>
    <w:p>
      <w:pPr>
        <w:spacing w:line="360" w:lineRule="auto"/>
        <w:ind w:firstLine="480" w:firstLineChars="200"/>
        <w:rPr>
          <w:rFonts w:hint="default" w:ascii="Times New Roman" w:hAnsi="Times New Roman" w:cs="Times New Roman"/>
          <w:sz w:val="24"/>
          <w:szCs w:val="24"/>
          <w:lang w:val="en-US" w:eastAsia="zh-CN"/>
        </w:rPr>
      </w:pPr>
      <w:bookmarkStart w:id="52" w:name="_Toc13415"/>
      <w:r>
        <w:rPr>
          <w:rFonts w:hint="default" w:ascii="Times New Roman" w:hAnsi="Times New Roman" w:cs="Times New Roman"/>
          <w:sz w:val="24"/>
          <w:szCs w:val="24"/>
          <w:lang w:val="en-US" w:eastAsia="zh-CN"/>
        </w:rPr>
        <w:t>本项目投产后，金属边角料由物资回收公司回收利用；生活垃圾由环卫部门统一清运处理；废机油、废切削液委托</w:t>
      </w:r>
      <w:r>
        <w:rPr>
          <w:rFonts w:hint="eastAsia" w:cs="Times New Roman"/>
          <w:sz w:val="24"/>
          <w:szCs w:val="24"/>
          <w:lang w:val="en-US" w:eastAsia="zh-CN"/>
        </w:rPr>
        <w:t>杭州立佳环境服务有限公司</w:t>
      </w:r>
      <w:r>
        <w:rPr>
          <w:rFonts w:hint="default" w:ascii="Times New Roman" w:hAnsi="Times New Roman" w:cs="Times New Roman"/>
          <w:sz w:val="24"/>
          <w:szCs w:val="24"/>
          <w:lang w:val="en-US" w:eastAsia="zh-CN"/>
        </w:rPr>
        <w:t>定期清运处理。</w:t>
      </w:r>
    </w:p>
    <w:p>
      <w:pPr>
        <w:spacing w:line="360" w:lineRule="auto"/>
        <w:ind w:firstLine="480" w:firstLineChars="200"/>
        <w:rPr>
          <w:rFonts w:hint="default" w:ascii="Times New Roman" w:hAnsi="Times New Roman" w:cs="Times New Roman"/>
          <w:sz w:val="24"/>
          <w:szCs w:val="24"/>
          <w:lang w:val="en-US" w:eastAsia="zh-CN"/>
        </w:rPr>
      </w:pPr>
    </w:p>
    <w:p>
      <w:pPr>
        <w:pStyle w:val="68"/>
        <w:jc w:val="left"/>
        <w:rPr>
          <w:rFonts w:hint="default" w:ascii="Times New Roman" w:hAnsi="Times New Roman" w:cs="Times New Roman"/>
          <w:szCs w:val="22"/>
          <w:lang w:val="en-US" w:eastAsia="zh-CN"/>
        </w:rPr>
      </w:pPr>
      <w:r>
        <w:rPr>
          <w:rFonts w:hint="default" w:ascii="Times New Roman" w:hAnsi="Times New Roman" w:cs="Times New Roman"/>
          <w:szCs w:val="22"/>
        </w:rPr>
        <w:t>9.1.</w:t>
      </w:r>
      <w:r>
        <w:rPr>
          <w:rFonts w:hint="default" w:ascii="Times New Roman" w:hAnsi="Times New Roman" w:cs="Times New Roman"/>
          <w:szCs w:val="22"/>
          <w:lang w:val="en-US" w:eastAsia="zh-CN"/>
        </w:rPr>
        <w:t>5总量控制</w:t>
      </w:r>
    </w:p>
    <w:p>
      <w:pPr>
        <w:spacing w:line="360" w:lineRule="auto"/>
        <w:ind w:left="1" w:firstLine="484" w:firstLineChars="202"/>
        <w:rPr>
          <w:rFonts w:hint="default" w:ascii="Times New Roman" w:hAnsi="Times New Roman" w:cs="Times New Roman"/>
          <w:color w:val="auto"/>
          <w:sz w:val="24"/>
          <w:szCs w:val="24"/>
          <w:lang w:val="en-US" w:eastAsia="zh-CN"/>
        </w:rPr>
      </w:pPr>
      <w:r>
        <w:rPr>
          <w:rFonts w:hint="eastAsia" w:cs="Times New Roman"/>
          <w:color w:val="auto"/>
          <w:sz w:val="24"/>
          <w:szCs w:val="24"/>
          <w:lang w:val="en-US" w:eastAsia="zh-CN"/>
        </w:rPr>
        <w:t>废水</w:t>
      </w:r>
    </w:p>
    <w:p>
      <w:pPr>
        <w:spacing w:line="360" w:lineRule="auto"/>
        <w:ind w:left="1" w:firstLine="484" w:firstLineChars="202"/>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据杭州名井精密机械有限公司新建项目废水排放量和企业排入的城市污水处理厂的排放标准（执行《污水综合排放标准》（GB8978-1996）一级排放标准；化学需氧量≤100mg/L，氨氮≤15mg/L），计算得企业废水污染因子环境排放量：</w:t>
      </w:r>
    </w:p>
    <w:p>
      <w:pPr>
        <w:spacing w:line="360" w:lineRule="auto"/>
        <w:ind w:left="1" w:firstLine="484" w:firstLineChars="202"/>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化学需氧量年排环境量为0.0068吨，氨氮年排环境量为0.0</w:t>
      </w:r>
      <w:r>
        <w:rPr>
          <w:rFonts w:hint="eastAsia" w:cs="Times New Roman"/>
          <w:color w:val="auto"/>
          <w:sz w:val="24"/>
          <w:szCs w:val="24"/>
          <w:lang w:val="en-US" w:eastAsia="zh-CN"/>
        </w:rPr>
        <w:t>0</w:t>
      </w:r>
      <w:r>
        <w:rPr>
          <w:rFonts w:hint="default" w:ascii="Times New Roman" w:hAnsi="Times New Roman" w:cs="Times New Roman"/>
          <w:color w:val="auto"/>
          <w:sz w:val="24"/>
          <w:szCs w:val="24"/>
          <w:lang w:val="en-US" w:eastAsia="zh-CN"/>
        </w:rPr>
        <w:t>10吨，符合总量控制标准（杭州名井精密机械有限公司新建项目年排化学需氧量≤0.0072t/a，氨氮≤0.0011t/a）。</w:t>
      </w:r>
    </w:p>
    <w:p>
      <w:pPr>
        <w:pStyle w:val="3"/>
        <w:spacing w:line="360" w:lineRule="auto"/>
        <w:rPr>
          <w:rFonts w:hint="default" w:ascii="Times New Roman" w:hAnsi="Times New Roman" w:cs="Times New Roman"/>
        </w:rPr>
      </w:pPr>
      <w:bookmarkStart w:id="53" w:name="_Toc9583"/>
      <w:r>
        <w:rPr>
          <w:rFonts w:hint="default" w:ascii="Times New Roman" w:hAnsi="Times New Roman" w:cs="Times New Roman"/>
        </w:rPr>
        <w:t>9.2总结论</w:t>
      </w:r>
      <w:bookmarkEnd w:id="52"/>
      <w:bookmarkEnd w:id="53"/>
    </w:p>
    <w:p>
      <w:pPr>
        <w:spacing w:line="360" w:lineRule="auto"/>
        <w:ind w:left="1" w:firstLine="484" w:firstLineChars="202"/>
        <w:rPr>
          <w:rFonts w:hint="default" w:ascii="Times New Roman" w:hAnsi="Times New Roman" w:cs="Times New Roman"/>
          <w:sz w:val="24"/>
          <w:szCs w:val="24"/>
        </w:rPr>
      </w:pPr>
      <w:r>
        <w:rPr>
          <w:rFonts w:hint="default" w:ascii="Times New Roman" w:hAnsi="Times New Roman" w:cs="Times New Roman"/>
          <w:sz w:val="24"/>
          <w:szCs w:val="24"/>
        </w:rPr>
        <w:t>杭州名井精密机械有限公司新建项目竣工环境保护审批手续齐全，在设计、施工和运行阶段均采取了相应措施，污染物排放指标达到相应标准的要求，基本落实了环评报告及批复的有关要求，基本具备建设项目环境保护设施竣工验收条件。</w:t>
      </w:r>
    </w:p>
    <w:p>
      <w:pPr>
        <w:pStyle w:val="3"/>
        <w:spacing w:line="360" w:lineRule="auto"/>
        <w:rPr>
          <w:rFonts w:hint="default" w:ascii="Times New Roman" w:hAnsi="Times New Roman" w:cs="Times New Roman"/>
        </w:rPr>
      </w:pPr>
      <w:bookmarkStart w:id="54" w:name="_Toc22830"/>
      <w:bookmarkStart w:id="55" w:name="_Toc27960"/>
      <w:r>
        <w:rPr>
          <w:rFonts w:hint="default" w:ascii="Times New Roman" w:hAnsi="Times New Roman" w:cs="Times New Roman"/>
        </w:rPr>
        <w:t>9.3建议</w:t>
      </w:r>
      <w:bookmarkEnd w:id="54"/>
      <w:bookmarkEnd w:id="55"/>
    </w:p>
    <w:p>
      <w:pPr>
        <w:spacing w:line="360" w:lineRule="auto"/>
        <w:ind w:left="1"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1、进一步加强环境保护设施的运行管理和维护，落实长效管理机制，确保各类污染物长期稳定达标排放，防止事故性排放。</w:t>
      </w:r>
    </w:p>
    <w:p>
      <w:pPr>
        <w:spacing w:line="360" w:lineRule="auto"/>
        <w:ind w:left="1"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2、加强固体废物的储存管理，防治二次污染事故发生。危险废物的处理处置应严格按照相关规定执行。</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3、加强废气污染防治工作，提高净化装置的净化能力，进一步降低大气污染物的浓度，确保各类废气达标排放。</w:t>
      </w:r>
    </w:p>
    <w:p>
      <w:pPr>
        <w:spacing w:line="120" w:lineRule="atLeast"/>
        <w:ind w:right="204"/>
        <w:rPr>
          <w:rFonts w:hint="default" w:ascii="Times New Roman" w:hAnsi="Times New Roman" w:cs="Times New Roman"/>
          <w:sz w:val="28"/>
          <w:szCs w:val="28"/>
        </w:rPr>
      </w:pPr>
    </w:p>
    <w:p>
      <w:pPr>
        <w:spacing w:line="120" w:lineRule="atLeast"/>
        <w:ind w:right="204"/>
        <w:rPr>
          <w:rFonts w:hint="default" w:ascii="Times New Roman" w:hAnsi="Times New Roman" w:cs="Times New Roman"/>
          <w:sz w:val="28"/>
          <w:szCs w:val="28"/>
        </w:rPr>
      </w:pPr>
      <w:r>
        <w:rPr>
          <w:rFonts w:hint="default" w:ascii="Times New Roman" w:hAnsi="Times New Roman" w:cs="Times New Roman"/>
          <w:sz w:val="28"/>
          <w:szCs w:val="28"/>
        </w:rPr>
        <w:br w:type="page"/>
      </w:r>
    </w:p>
    <w:p>
      <w:pPr>
        <w:spacing w:line="120" w:lineRule="atLeast"/>
        <w:ind w:right="204"/>
        <w:rPr>
          <w:rFonts w:hint="default" w:ascii="Times New Roman" w:hAnsi="Times New Roman" w:cs="Times New Roman"/>
          <w:sz w:val="28"/>
          <w:szCs w:val="28"/>
        </w:rPr>
      </w:pPr>
      <w:r>
        <w:rPr>
          <w:rFonts w:hint="default" w:ascii="Times New Roman" w:hAnsi="Times New Roman" w:cs="Times New Roman"/>
          <w:sz w:val="28"/>
          <w:szCs w:val="28"/>
        </w:rPr>
        <w:t>附表</w:t>
      </w:r>
      <w:r>
        <w:rPr>
          <w:rFonts w:hint="default" w:ascii="Times New Roman" w:hAnsi="Times New Roman" w:cs="Times New Roman"/>
          <w:sz w:val="28"/>
          <w:szCs w:val="28"/>
          <w:lang w:eastAsia="zh-CN"/>
        </w:rPr>
        <w:t>一</w:t>
      </w:r>
    </w:p>
    <w:p>
      <w:pPr>
        <w:spacing w:line="120" w:lineRule="atLeast"/>
        <w:jc w:val="center"/>
        <w:rPr>
          <w:rFonts w:hint="default" w:ascii="Times New Roman" w:hAnsi="Times New Roman" w:cs="Times New Roman"/>
          <w:b/>
          <w:sz w:val="32"/>
        </w:rPr>
      </w:pPr>
      <w:r>
        <w:rPr>
          <w:rFonts w:hint="default" w:ascii="Times New Roman" w:hAnsi="Times New Roman" w:cs="Times New Roman"/>
          <w:b/>
          <w:sz w:val="32"/>
        </w:rPr>
        <w:t>建设项目环境保护“三同时”验收登记表</w:t>
      </w:r>
    </w:p>
    <w:tbl>
      <w:tblPr>
        <w:tblStyle w:val="25"/>
        <w:tblpPr w:leftFromText="180" w:rightFromText="180" w:vertAnchor="text" w:horzAnchor="page" w:tblpXSpec="center" w:tblpY="314"/>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843"/>
        <w:gridCol w:w="15"/>
        <w:gridCol w:w="469"/>
        <w:gridCol w:w="358"/>
        <w:gridCol w:w="947"/>
        <w:gridCol w:w="762"/>
        <w:gridCol w:w="818"/>
        <w:gridCol w:w="270"/>
        <w:gridCol w:w="572"/>
        <w:gridCol w:w="88"/>
        <w:gridCol w:w="429"/>
        <w:gridCol w:w="330"/>
        <w:gridCol w:w="171"/>
        <w:gridCol w:w="702"/>
        <w:gridCol w:w="175"/>
        <w:gridCol w:w="333"/>
        <w:gridCol w:w="361"/>
        <w:gridCol w:w="33"/>
        <w:gridCol w:w="301"/>
        <w:gridCol w:w="1"/>
        <w:gridCol w:w="401"/>
        <w:gridCol w:w="15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sz w:val="21"/>
                <w:szCs w:val="21"/>
              </w:rPr>
              <w:t>建设项目名称</w:t>
            </w:r>
          </w:p>
        </w:tc>
        <w:tc>
          <w:tcPr>
            <w:tcW w:w="4713" w:type="dxa"/>
            <w:gridSpan w:val="9"/>
            <w:vAlign w:val="center"/>
          </w:tcPr>
          <w:p>
            <w:pPr>
              <w:jc w:val="both"/>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eastAsia="zh-CN"/>
              </w:rPr>
              <w:t>杭州名井精密机械有限公司新建项目</w:t>
            </w:r>
          </w:p>
        </w:tc>
        <w:tc>
          <w:tcPr>
            <w:tcW w:w="1203" w:type="dxa"/>
            <w:gridSpan w:val="3"/>
            <w:vAlign w:val="center"/>
          </w:tcPr>
          <w:p>
            <w:pPr>
              <w:jc w:val="center"/>
              <w:rPr>
                <w:rFonts w:hint="default" w:ascii="Times New Roman" w:hAnsi="Times New Roman" w:cs="Times New Roman"/>
              </w:rPr>
            </w:pPr>
            <w:r>
              <w:rPr>
                <w:rFonts w:hint="default" w:ascii="Times New Roman" w:hAnsi="Times New Roman" w:cs="Times New Roman"/>
              </w:rPr>
              <w:t>建设地点</w:t>
            </w:r>
          </w:p>
        </w:tc>
        <w:tc>
          <w:tcPr>
            <w:tcW w:w="2610" w:type="dxa"/>
            <w:gridSpan w:val="9"/>
            <w:vAlign w:val="center"/>
          </w:tcPr>
          <w:p>
            <w:pP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eastAsia="zh-CN"/>
              </w:rPr>
              <w:t>萧山区河上镇紫霞村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14" w:type="dxa"/>
            <w:gridSpan w:val="3"/>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建设单位</w:t>
            </w:r>
          </w:p>
        </w:tc>
        <w:tc>
          <w:tcPr>
            <w:tcW w:w="3624" w:type="dxa"/>
            <w:gridSpan w:val="6"/>
            <w:vAlign w:val="center"/>
          </w:tcPr>
          <w:p>
            <w:pPr>
              <w:pStyle w:val="81"/>
              <w:adjustRightInd/>
              <w:spacing w:line="240" w:lineRule="auto"/>
              <w:jc w:val="left"/>
              <w:textAlignment w:val="auto"/>
              <w:rPr>
                <w:rFonts w:hint="default" w:ascii="Times New Roman" w:hAnsi="Times New Roman" w:cs="Times New Roman"/>
                <w:kern w:val="2"/>
                <w:szCs w:val="21"/>
              </w:rPr>
            </w:pPr>
            <w:r>
              <w:rPr>
                <w:rFonts w:hint="default" w:ascii="Times New Roman" w:hAnsi="Times New Roman" w:cs="Times New Roman"/>
                <w:kern w:val="2"/>
                <w:szCs w:val="21"/>
              </w:rPr>
              <w:t>杭州名井精密机械有限公司</w:t>
            </w:r>
          </w:p>
        </w:tc>
        <w:tc>
          <w:tcPr>
            <w:tcW w:w="1089" w:type="dxa"/>
            <w:gridSpan w:val="3"/>
            <w:vAlign w:val="center"/>
          </w:tcPr>
          <w:p>
            <w:pPr>
              <w:jc w:val="center"/>
              <w:rPr>
                <w:rFonts w:hint="default" w:ascii="Times New Roman" w:hAnsi="Times New Roman" w:cs="Times New Roman"/>
              </w:rPr>
            </w:pPr>
            <w:r>
              <w:rPr>
                <w:rFonts w:hint="default" w:ascii="Times New Roman" w:hAnsi="Times New Roman" w:cs="Times New Roman"/>
              </w:rPr>
              <w:t>邮编</w:t>
            </w:r>
          </w:p>
        </w:tc>
        <w:tc>
          <w:tcPr>
            <w:tcW w:w="1203" w:type="dxa"/>
            <w:gridSpan w:val="3"/>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311265</w:t>
            </w:r>
          </w:p>
        </w:tc>
        <w:tc>
          <w:tcPr>
            <w:tcW w:w="1203" w:type="dxa"/>
            <w:gridSpan w:val="5"/>
            <w:vAlign w:val="center"/>
          </w:tcPr>
          <w:p>
            <w:pPr>
              <w:jc w:val="center"/>
              <w:rPr>
                <w:rFonts w:hint="default" w:ascii="Times New Roman" w:hAnsi="Times New Roman" w:cs="Times New Roman"/>
              </w:rPr>
            </w:pPr>
            <w:r>
              <w:rPr>
                <w:rFonts w:hint="default" w:ascii="Times New Roman" w:hAnsi="Times New Roman" w:cs="Times New Roman"/>
              </w:rPr>
              <w:t>电话</w:t>
            </w:r>
          </w:p>
        </w:tc>
        <w:tc>
          <w:tcPr>
            <w:tcW w:w="1407" w:type="dxa"/>
            <w:gridSpan w:val="4"/>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13818327888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914" w:type="dxa"/>
            <w:gridSpan w:val="3"/>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行业类别</w:t>
            </w:r>
            <w:r>
              <w:rPr>
                <w:rFonts w:hint="default" w:ascii="Times New Roman" w:hAnsi="Times New Roman" w:cs="Times New Roman"/>
                <w:sz w:val="21"/>
                <w:szCs w:val="21"/>
                <w:lang w:eastAsia="zh-CN"/>
              </w:rPr>
              <w:t>及代码</w:t>
            </w:r>
          </w:p>
        </w:tc>
        <w:tc>
          <w:tcPr>
            <w:tcW w:w="3624" w:type="dxa"/>
            <w:gridSpan w:val="6"/>
            <w:vAlign w:val="center"/>
          </w:tcPr>
          <w:p>
            <w:pPr>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（C331）结构性金属制品制造</w:t>
            </w:r>
          </w:p>
          <w:p>
            <w:pPr>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（C342）金属加工机械制造</w:t>
            </w:r>
          </w:p>
        </w:tc>
        <w:tc>
          <w:tcPr>
            <w:tcW w:w="1089" w:type="dxa"/>
            <w:gridSpan w:val="3"/>
            <w:vAlign w:val="center"/>
          </w:tcPr>
          <w:p>
            <w:pPr>
              <w:jc w:val="center"/>
              <w:rPr>
                <w:rFonts w:hint="default" w:ascii="Times New Roman" w:hAnsi="Times New Roman" w:cs="Times New Roman"/>
              </w:rPr>
            </w:pPr>
            <w:r>
              <w:rPr>
                <w:rFonts w:hint="default" w:ascii="Times New Roman" w:hAnsi="Times New Roman" w:cs="Times New Roman"/>
              </w:rPr>
              <w:t>项目性质</w:t>
            </w:r>
          </w:p>
        </w:tc>
        <w:tc>
          <w:tcPr>
            <w:tcW w:w="1203" w:type="dxa"/>
            <w:gridSpan w:val="3"/>
            <w:vAlign w:val="center"/>
          </w:tcPr>
          <w:p>
            <w:pPr>
              <w:jc w:val="center"/>
              <w:rPr>
                <w:rFonts w:hint="default" w:ascii="Times New Roman" w:hAnsi="Times New Roman" w:cs="Times New Roman"/>
              </w:rPr>
            </w:pPr>
            <w:r>
              <w:rPr>
                <w:rFonts w:hint="default" w:ascii="Times New Roman" w:hAnsi="Times New Roman" w:cs="Times New Roman"/>
              </w:rPr>
              <w:t>新建</w:t>
            </w:r>
            <w:r>
              <w:rPr>
                <w:rFonts w:hint="default" w:ascii="Times New Roman" w:hAnsi="Times New Roman" w:cs="Times New Roman"/>
                <w:lang w:eastAsia="zh-CN"/>
              </w:rPr>
              <w:t>√</w:t>
            </w:r>
          </w:p>
        </w:tc>
        <w:tc>
          <w:tcPr>
            <w:tcW w:w="1203" w:type="dxa"/>
            <w:gridSpan w:val="5"/>
            <w:vAlign w:val="center"/>
          </w:tcPr>
          <w:p>
            <w:pPr>
              <w:jc w:val="center"/>
              <w:rPr>
                <w:rFonts w:hint="default" w:ascii="Times New Roman" w:hAnsi="Times New Roman" w:cs="Times New Roman"/>
              </w:rPr>
            </w:pPr>
            <w:r>
              <w:rPr>
                <w:rFonts w:hint="default" w:ascii="Times New Roman" w:hAnsi="Times New Roman" w:cs="Times New Roman"/>
                <w:lang w:eastAsia="zh-CN"/>
              </w:rPr>
              <w:t>迁扩建</w:t>
            </w:r>
          </w:p>
        </w:tc>
        <w:tc>
          <w:tcPr>
            <w:tcW w:w="1407" w:type="dxa"/>
            <w:gridSpan w:val="4"/>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14" w:type="dxa"/>
            <w:gridSpan w:val="3"/>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设计生产能力</w:t>
            </w:r>
          </w:p>
        </w:tc>
        <w:tc>
          <w:tcPr>
            <w:tcW w:w="3624" w:type="dxa"/>
            <w:gridSpan w:val="6"/>
            <w:vAlign w:val="center"/>
          </w:tcPr>
          <w:p>
            <w:pPr>
              <w:jc w:val="both"/>
              <w:rPr>
                <w:rFonts w:hint="default" w:ascii="Times New Roman" w:hAnsi="Times New Roman" w:cs="Times New Roman" w:eastAsiaTheme="minorEastAsia"/>
                <w:color w:val="auto"/>
                <w:szCs w:val="21"/>
                <w:lang w:val="en-US" w:eastAsia="zh-CN"/>
              </w:rPr>
            </w:pPr>
            <w:r>
              <w:rPr>
                <w:rFonts w:hint="default" w:ascii="Times New Roman" w:hAnsi="Times New Roman" w:cs="Times New Roman" w:eastAsiaTheme="minorEastAsia"/>
                <w:color w:val="auto"/>
                <w:szCs w:val="21"/>
                <w:lang w:val="en-US" w:eastAsia="zh-CN"/>
              </w:rPr>
              <w:t>年产平面磨床50台、机械设备30台、五金机械配件10吨</w:t>
            </w:r>
          </w:p>
        </w:tc>
        <w:tc>
          <w:tcPr>
            <w:tcW w:w="2292" w:type="dxa"/>
            <w:gridSpan w:val="6"/>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建设项目开工日期</w:t>
            </w:r>
          </w:p>
        </w:tc>
        <w:tc>
          <w:tcPr>
            <w:tcW w:w="2610" w:type="dxa"/>
            <w:gridSpan w:val="9"/>
            <w:vAlign w:val="center"/>
          </w:tcPr>
          <w:p>
            <w:pPr>
              <w:jc w:val="center"/>
              <w:rPr>
                <w:rFonts w:hint="default" w:ascii="Times New Roman" w:hAnsi="Times New Roman" w:cs="Times New Roman" w:eastAsiaTheme="minorEastAsia"/>
                <w:color w:val="auto"/>
                <w:lang w:val="en-US" w:eastAsia="zh-CN"/>
              </w:rPr>
            </w:pPr>
            <w:r>
              <w:rPr>
                <w:rFonts w:hint="eastAsia" w:cs="Times New Roman"/>
                <w:color w:val="auto"/>
                <w:lang w:val="en-US" w:eastAsia="zh-CN"/>
              </w:rPr>
              <w:t>2017</w:t>
            </w:r>
            <w:r>
              <w:rPr>
                <w:rFonts w:hint="default" w:ascii="Times New Roman" w:hAnsi="Times New Roman" w:cs="Times New Roman"/>
                <w:color w:val="auto"/>
                <w:lang w:val="en-US" w:eastAsia="zh-CN"/>
              </w:rPr>
              <w:t>年</w:t>
            </w:r>
            <w:r>
              <w:rPr>
                <w:rFonts w:hint="eastAsia" w:cs="Times New Roman"/>
                <w:color w:val="auto"/>
                <w:lang w:val="en-US" w:eastAsia="zh-CN"/>
              </w:rPr>
              <w:t>2</w:t>
            </w:r>
            <w:r>
              <w:rPr>
                <w:rFonts w:hint="default" w:ascii="Times New Roman" w:hAnsi="Times New Roman" w:cs="Times New Roman"/>
                <w:color w:val="auto"/>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914" w:type="dxa"/>
            <w:gridSpan w:val="3"/>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实际生产能力</w:t>
            </w:r>
          </w:p>
        </w:tc>
        <w:tc>
          <w:tcPr>
            <w:tcW w:w="3624" w:type="dxa"/>
            <w:gridSpan w:val="6"/>
            <w:vAlign w:val="center"/>
          </w:tcPr>
          <w:p>
            <w:pPr>
              <w:jc w:val="both"/>
              <w:rPr>
                <w:rFonts w:hint="default" w:ascii="Times New Roman" w:hAnsi="Times New Roman" w:cs="Times New Roman" w:eastAsiaTheme="minorEastAsia"/>
                <w:color w:val="auto"/>
                <w:szCs w:val="21"/>
                <w:lang w:val="en-US" w:eastAsia="zh-CN"/>
              </w:rPr>
            </w:pPr>
            <w:r>
              <w:rPr>
                <w:rFonts w:hint="default" w:ascii="Times New Roman" w:hAnsi="Times New Roman" w:cs="Times New Roman" w:eastAsiaTheme="minorEastAsia"/>
                <w:color w:val="auto"/>
                <w:szCs w:val="21"/>
                <w:lang w:val="en-US" w:eastAsia="zh-CN"/>
              </w:rPr>
              <w:t>年产平面磨床50台、机械设备30台、五金机械配件10吨</w:t>
            </w:r>
          </w:p>
        </w:tc>
        <w:tc>
          <w:tcPr>
            <w:tcW w:w="2292" w:type="dxa"/>
            <w:gridSpan w:val="6"/>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投入试运行日期</w:t>
            </w:r>
          </w:p>
        </w:tc>
        <w:tc>
          <w:tcPr>
            <w:tcW w:w="2610" w:type="dxa"/>
            <w:gridSpan w:val="9"/>
            <w:vAlign w:val="center"/>
          </w:tcPr>
          <w:p>
            <w:pPr>
              <w:jc w:val="center"/>
              <w:rPr>
                <w:rFonts w:hint="default" w:ascii="Times New Roman" w:hAnsi="Times New Roman" w:cs="Times New Roman" w:eastAsiaTheme="minorEastAsia"/>
                <w:color w:val="auto"/>
                <w:lang w:val="en-US" w:eastAsia="zh-CN"/>
              </w:rPr>
            </w:pPr>
            <w:r>
              <w:rPr>
                <w:rFonts w:hint="eastAsia" w:cs="Times New Roman"/>
                <w:color w:val="auto"/>
                <w:lang w:val="en-US" w:eastAsia="zh-CN"/>
              </w:rPr>
              <w:t>2017</w:t>
            </w:r>
            <w:r>
              <w:rPr>
                <w:rFonts w:hint="default" w:ascii="Times New Roman" w:hAnsi="Times New Roman" w:cs="Times New Roman"/>
                <w:color w:val="auto"/>
                <w:lang w:val="en-US" w:eastAsia="zh-CN"/>
              </w:rPr>
              <w:t>年</w:t>
            </w:r>
            <w:r>
              <w:rPr>
                <w:rFonts w:hint="eastAsia" w:cs="Times New Roman"/>
                <w:color w:val="auto"/>
                <w:lang w:val="en-US" w:eastAsia="zh-CN"/>
              </w:rPr>
              <w:t>3</w:t>
            </w:r>
            <w:r>
              <w:rPr>
                <w:rFonts w:hint="default" w:ascii="Times New Roman" w:hAnsi="Times New Roman" w:cs="Times New Roman"/>
                <w:color w:val="auto"/>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14" w:type="dxa"/>
            <w:gridSpan w:val="3"/>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报告书审批部门</w:t>
            </w:r>
          </w:p>
        </w:tc>
        <w:tc>
          <w:tcPr>
            <w:tcW w:w="3624" w:type="dxa"/>
            <w:gridSpan w:val="6"/>
            <w:vAlign w:val="center"/>
          </w:tcPr>
          <w:p>
            <w:pPr>
              <w:pStyle w:val="81"/>
              <w:adjustRightInd/>
              <w:spacing w:line="240" w:lineRule="auto"/>
              <w:textAlignment w:val="auto"/>
              <w:rPr>
                <w:rFonts w:hint="default" w:ascii="Times New Roman" w:hAnsi="Times New Roman" w:cs="Times New Roman" w:eastAsiaTheme="minorEastAsia"/>
                <w:kern w:val="2"/>
                <w:lang w:eastAsia="zh-CN"/>
              </w:rPr>
            </w:pPr>
            <w:r>
              <w:rPr>
                <w:rFonts w:hint="default" w:ascii="Times New Roman" w:hAnsi="Times New Roman" w:cs="Times New Roman" w:eastAsiaTheme="minorEastAsia"/>
                <w:kern w:val="2"/>
                <w:lang w:eastAsia="zh-CN"/>
              </w:rPr>
              <w:t>杭州市萧山区环境保护局</w:t>
            </w:r>
          </w:p>
        </w:tc>
        <w:tc>
          <w:tcPr>
            <w:tcW w:w="660" w:type="dxa"/>
            <w:gridSpan w:val="2"/>
            <w:vAlign w:val="center"/>
          </w:tcPr>
          <w:p>
            <w:pPr>
              <w:jc w:val="center"/>
              <w:rPr>
                <w:rFonts w:hint="default" w:ascii="Times New Roman" w:hAnsi="Times New Roman" w:cs="Times New Roman"/>
              </w:rPr>
            </w:pPr>
            <w:r>
              <w:rPr>
                <w:rFonts w:hint="default" w:ascii="Times New Roman" w:hAnsi="Times New Roman" w:cs="Times New Roman"/>
              </w:rPr>
              <w:t>文号</w:t>
            </w:r>
          </w:p>
        </w:tc>
        <w:tc>
          <w:tcPr>
            <w:tcW w:w="2140" w:type="dxa"/>
            <w:gridSpan w:val="6"/>
            <w:vAlign w:val="center"/>
          </w:tcPr>
          <w:p>
            <w:pPr>
              <w:jc w:val="both"/>
              <w:rPr>
                <w:rFonts w:hint="default" w:ascii="Times New Roman" w:hAnsi="Times New Roman" w:cs="Times New Roman" w:eastAsiaTheme="minorEastAsia"/>
                <w:color w:val="000000"/>
                <w:lang w:eastAsia="zh-CN"/>
              </w:rPr>
            </w:pPr>
            <w:r>
              <w:rPr>
                <w:rFonts w:hint="default" w:ascii="Times New Roman" w:hAnsi="Times New Roman" w:cs="Times New Roman" w:eastAsiaTheme="minorEastAsia"/>
                <w:color w:val="000000"/>
                <w:lang w:eastAsia="zh-CN"/>
              </w:rPr>
              <w:t>萧环建[2016]</w:t>
            </w:r>
            <w:r>
              <w:rPr>
                <w:rFonts w:hint="eastAsia" w:cs="Times New Roman" w:eastAsiaTheme="minorEastAsia"/>
                <w:color w:val="000000"/>
                <w:lang w:val="en-US" w:eastAsia="zh-CN"/>
              </w:rPr>
              <w:t>466</w:t>
            </w:r>
            <w:r>
              <w:rPr>
                <w:rFonts w:hint="default" w:ascii="Times New Roman" w:hAnsi="Times New Roman" w:cs="Times New Roman" w:eastAsiaTheme="minorEastAsia"/>
                <w:color w:val="000000"/>
                <w:lang w:eastAsia="zh-CN"/>
              </w:rPr>
              <w:t>号</w:t>
            </w:r>
          </w:p>
        </w:tc>
        <w:tc>
          <w:tcPr>
            <w:tcW w:w="696" w:type="dxa"/>
            <w:gridSpan w:val="4"/>
            <w:vAlign w:val="center"/>
          </w:tcPr>
          <w:p>
            <w:pPr>
              <w:jc w:val="center"/>
              <w:rPr>
                <w:rFonts w:hint="default" w:ascii="Times New Roman" w:hAnsi="Times New Roman" w:cs="Times New Roman"/>
              </w:rPr>
            </w:pPr>
            <w:r>
              <w:rPr>
                <w:rFonts w:hint="default" w:ascii="Times New Roman" w:hAnsi="Times New Roman" w:cs="Times New Roman"/>
              </w:rPr>
              <w:t>时间</w:t>
            </w:r>
          </w:p>
        </w:tc>
        <w:tc>
          <w:tcPr>
            <w:tcW w:w="1406" w:type="dxa"/>
            <w:gridSpan w:val="3"/>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20</w:t>
            </w:r>
            <w:r>
              <w:rPr>
                <w:rFonts w:hint="default" w:ascii="Times New Roman" w:hAnsi="Times New Roman" w:cs="Times New Roman"/>
                <w:color w:val="000000"/>
                <w:lang w:val="en-US" w:eastAsia="zh-CN"/>
              </w:rPr>
              <w:t>16</w:t>
            </w:r>
            <w:r>
              <w:rPr>
                <w:rFonts w:hint="default" w:ascii="Times New Roman" w:hAnsi="Times New Roman" w:cs="Times New Roman"/>
                <w:color w:val="000000"/>
              </w:rPr>
              <w:t>年</w:t>
            </w:r>
            <w:r>
              <w:rPr>
                <w:rFonts w:hint="eastAsia" w:cs="Times New Roman"/>
                <w:color w:val="000000"/>
                <w:lang w:val="en-US" w:eastAsia="zh-CN"/>
              </w:rPr>
              <w:t>5</w:t>
            </w:r>
            <w:r>
              <w:rPr>
                <w:rFonts w:hint="default" w:ascii="Times New Roman" w:hAnsi="Times New Roman" w:cs="Times New Roman"/>
                <w:color w:val="000000"/>
              </w:rPr>
              <w:t>月</w:t>
            </w:r>
            <w:r>
              <w:rPr>
                <w:rFonts w:hint="eastAsia" w:cs="Times New Roman"/>
                <w:color w:val="000000"/>
                <w:lang w:val="en-US" w:eastAsia="zh-CN"/>
              </w:rPr>
              <w:t>19</w:t>
            </w:r>
            <w:r>
              <w:rPr>
                <w:rFonts w:hint="default" w:ascii="Times New Roman" w:hAnsi="Times New Roman" w:cs="Times New Roman"/>
                <w:color w:val="00000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rPr>
              <w:t>初步设计审批部门</w:t>
            </w:r>
          </w:p>
        </w:tc>
        <w:tc>
          <w:tcPr>
            <w:tcW w:w="3624" w:type="dxa"/>
            <w:gridSpan w:val="6"/>
            <w:vAlign w:val="center"/>
          </w:tcPr>
          <w:p>
            <w:pPr>
              <w:jc w:val="center"/>
              <w:rPr>
                <w:rFonts w:hint="default" w:ascii="Times New Roman" w:hAnsi="Times New Roman" w:cs="Times New Roman"/>
              </w:rPr>
            </w:pPr>
            <w:r>
              <w:rPr>
                <w:rFonts w:hint="default" w:ascii="Times New Roman" w:hAnsi="Times New Roman" w:cs="Times New Roman"/>
                <w:lang w:val="en-US" w:eastAsia="zh-CN"/>
              </w:rPr>
              <w:t>/</w:t>
            </w:r>
          </w:p>
        </w:tc>
        <w:tc>
          <w:tcPr>
            <w:tcW w:w="660" w:type="dxa"/>
            <w:gridSpan w:val="2"/>
            <w:vAlign w:val="center"/>
          </w:tcPr>
          <w:p>
            <w:pPr>
              <w:jc w:val="center"/>
              <w:rPr>
                <w:rFonts w:hint="default" w:ascii="Times New Roman" w:hAnsi="Times New Roman" w:cs="Times New Roman"/>
              </w:rPr>
            </w:pPr>
            <w:r>
              <w:rPr>
                <w:rFonts w:hint="default" w:ascii="Times New Roman" w:hAnsi="Times New Roman" w:cs="Times New Roman"/>
              </w:rPr>
              <w:t>文号</w:t>
            </w:r>
          </w:p>
        </w:tc>
        <w:tc>
          <w:tcPr>
            <w:tcW w:w="2140" w:type="dxa"/>
            <w:gridSpan w:val="6"/>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w:t>
            </w:r>
          </w:p>
        </w:tc>
        <w:tc>
          <w:tcPr>
            <w:tcW w:w="696" w:type="dxa"/>
            <w:gridSpan w:val="4"/>
            <w:vAlign w:val="center"/>
          </w:tcPr>
          <w:p>
            <w:pPr>
              <w:jc w:val="center"/>
              <w:rPr>
                <w:rFonts w:hint="default" w:ascii="Times New Roman" w:hAnsi="Times New Roman" w:cs="Times New Roman"/>
              </w:rPr>
            </w:pPr>
            <w:r>
              <w:rPr>
                <w:rFonts w:hint="default" w:ascii="Times New Roman" w:hAnsi="Times New Roman" w:cs="Times New Roman"/>
              </w:rPr>
              <w:t>时间</w:t>
            </w:r>
          </w:p>
        </w:tc>
        <w:tc>
          <w:tcPr>
            <w:tcW w:w="1406" w:type="dxa"/>
            <w:gridSpan w:val="3"/>
            <w:vAlign w:val="center"/>
          </w:tcPr>
          <w:p>
            <w:pPr>
              <w:jc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rPr>
              <w:t>环保验收审批部门</w:t>
            </w:r>
          </w:p>
        </w:tc>
        <w:tc>
          <w:tcPr>
            <w:tcW w:w="3624" w:type="dxa"/>
            <w:gridSpan w:val="6"/>
            <w:vAlign w:val="center"/>
          </w:tcPr>
          <w:p>
            <w:pPr>
              <w:jc w:val="center"/>
              <w:rPr>
                <w:rFonts w:hint="default" w:ascii="Times New Roman" w:hAnsi="Times New Roman" w:cs="Times New Roman"/>
              </w:rPr>
            </w:pPr>
            <w:r>
              <w:rPr>
                <w:rFonts w:hint="default" w:ascii="Times New Roman" w:hAnsi="Times New Roman" w:cs="Times New Roman"/>
                <w:lang w:val="en-US" w:eastAsia="zh-CN"/>
              </w:rPr>
              <w:t>/</w:t>
            </w:r>
          </w:p>
        </w:tc>
        <w:tc>
          <w:tcPr>
            <w:tcW w:w="660" w:type="dxa"/>
            <w:gridSpan w:val="2"/>
            <w:vAlign w:val="center"/>
          </w:tcPr>
          <w:p>
            <w:pPr>
              <w:jc w:val="center"/>
              <w:rPr>
                <w:rFonts w:hint="default" w:ascii="Times New Roman" w:hAnsi="Times New Roman" w:cs="Times New Roman"/>
              </w:rPr>
            </w:pPr>
            <w:r>
              <w:rPr>
                <w:rFonts w:hint="default" w:ascii="Times New Roman" w:hAnsi="Times New Roman" w:cs="Times New Roman"/>
              </w:rPr>
              <w:t>文号</w:t>
            </w:r>
          </w:p>
        </w:tc>
        <w:tc>
          <w:tcPr>
            <w:tcW w:w="2140" w:type="dxa"/>
            <w:gridSpan w:val="6"/>
            <w:vAlign w:val="center"/>
          </w:tcPr>
          <w:p>
            <w:pPr>
              <w:jc w:val="center"/>
              <w:rPr>
                <w:rFonts w:hint="default" w:ascii="Times New Roman" w:hAnsi="Times New Roman" w:cs="Times New Roman"/>
              </w:rPr>
            </w:pPr>
            <w:r>
              <w:rPr>
                <w:rFonts w:hint="default" w:ascii="Times New Roman" w:hAnsi="Times New Roman" w:cs="Times New Roman"/>
                <w:lang w:val="en-US" w:eastAsia="zh-CN"/>
              </w:rPr>
              <w:t>/</w:t>
            </w:r>
          </w:p>
        </w:tc>
        <w:tc>
          <w:tcPr>
            <w:tcW w:w="696" w:type="dxa"/>
            <w:gridSpan w:val="4"/>
            <w:vAlign w:val="center"/>
          </w:tcPr>
          <w:p>
            <w:pPr>
              <w:jc w:val="center"/>
              <w:rPr>
                <w:rFonts w:hint="default" w:ascii="Times New Roman" w:hAnsi="Times New Roman" w:cs="Times New Roman"/>
              </w:rPr>
            </w:pPr>
            <w:r>
              <w:rPr>
                <w:rFonts w:hint="default" w:ascii="Times New Roman" w:hAnsi="Times New Roman" w:cs="Times New Roman"/>
              </w:rPr>
              <w:t>时间</w:t>
            </w:r>
          </w:p>
        </w:tc>
        <w:tc>
          <w:tcPr>
            <w:tcW w:w="1406" w:type="dxa"/>
            <w:gridSpan w:val="3"/>
            <w:vAlign w:val="center"/>
          </w:tcPr>
          <w:p>
            <w:pPr>
              <w:jc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rPr>
              <w:t>报告书编制单位</w:t>
            </w:r>
          </w:p>
        </w:tc>
        <w:tc>
          <w:tcPr>
            <w:tcW w:w="3624" w:type="dxa"/>
            <w:gridSpan w:val="6"/>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杭州天川环保科技有限公司</w:t>
            </w:r>
          </w:p>
        </w:tc>
        <w:tc>
          <w:tcPr>
            <w:tcW w:w="1590" w:type="dxa"/>
            <w:gridSpan w:val="5"/>
            <w:vAlign w:val="center"/>
          </w:tcPr>
          <w:p>
            <w:pPr>
              <w:jc w:val="center"/>
              <w:rPr>
                <w:rFonts w:hint="default" w:ascii="Times New Roman" w:hAnsi="Times New Roman" w:cs="Times New Roman"/>
              </w:rPr>
            </w:pPr>
            <w:r>
              <w:rPr>
                <w:rFonts w:hint="default" w:ascii="Times New Roman" w:hAnsi="Times New Roman" w:cs="Times New Roman"/>
              </w:rPr>
              <w:t>投资总概算</w:t>
            </w:r>
          </w:p>
        </w:tc>
        <w:tc>
          <w:tcPr>
            <w:tcW w:w="3312" w:type="dxa"/>
            <w:gridSpan w:val="10"/>
            <w:vAlign w:val="center"/>
          </w:tcPr>
          <w:p>
            <w:pPr>
              <w:jc w:val="right"/>
              <w:rPr>
                <w:rFonts w:hint="default" w:ascii="Times New Roman" w:hAnsi="Times New Roman" w:cs="Times New Roman"/>
              </w:rPr>
            </w:pPr>
            <w:r>
              <w:rPr>
                <w:rFonts w:hint="eastAsia" w:cs="Times New Roman"/>
                <w:lang w:val="en-US" w:eastAsia="zh-CN"/>
              </w:rPr>
              <w:t>20</w:t>
            </w:r>
            <w:r>
              <w:rPr>
                <w:rFonts w:hint="default" w:ascii="Times New Roman" w:hAnsi="Times New Roman"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rPr>
              <w:t>环保设施设计单位</w:t>
            </w:r>
          </w:p>
        </w:tc>
        <w:tc>
          <w:tcPr>
            <w:tcW w:w="3624" w:type="dxa"/>
            <w:gridSpan w:val="6"/>
            <w:vAlign w:val="center"/>
          </w:tcPr>
          <w:p>
            <w:pPr>
              <w:jc w:val="center"/>
              <w:rPr>
                <w:rFonts w:hint="eastAsia" w:ascii="Times New Roman" w:hAnsi="Times New Roman" w:eastAsia="宋体" w:cs="Times New Roman"/>
                <w:kern w:val="2"/>
                <w:lang w:val="en-US" w:eastAsia="zh-CN"/>
              </w:rPr>
            </w:pPr>
            <w:r>
              <w:rPr>
                <w:rFonts w:hint="eastAsia" w:cs="Times New Roman"/>
                <w:kern w:val="2"/>
                <w:lang w:val="en-US" w:eastAsia="zh-CN"/>
              </w:rPr>
              <w:t>/</w:t>
            </w:r>
          </w:p>
        </w:tc>
        <w:tc>
          <w:tcPr>
            <w:tcW w:w="1590" w:type="dxa"/>
            <w:gridSpan w:val="5"/>
            <w:vAlign w:val="center"/>
          </w:tcPr>
          <w:p>
            <w:pPr>
              <w:jc w:val="center"/>
              <w:rPr>
                <w:rFonts w:hint="default" w:ascii="Times New Roman" w:hAnsi="Times New Roman" w:cs="Times New Roman"/>
              </w:rPr>
            </w:pPr>
            <w:r>
              <w:rPr>
                <w:rFonts w:hint="default" w:ascii="Times New Roman" w:hAnsi="Times New Roman" w:cs="Times New Roman"/>
              </w:rPr>
              <w:t>环保投资概算</w:t>
            </w:r>
          </w:p>
        </w:tc>
        <w:tc>
          <w:tcPr>
            <w:tcW w:w="1604" w:type="dxa"/>
            <w:gridSpan w:val="5"/>
            <w:vAlign w:val="top"/>
          </w:tcPr>
          <w:p>
            <w:pPr>
              <w:jc w:val="right"/>
              <w:rPr>
                <w:rFonts w:hint="default" w:ascii="Times New Roman" w:hAnsi="Times New Roman" w:cs="Times New Roman"/>
              </w:rPr>
            </w:pPr>
            <w:r>
              <w:rPr>
                <w:rFonts w:hint="eastAsia" w:cs="Times New Roman"/>
                <w:lang w:val="en-US" w:eastAsia="zh-CN"/>
              </w:rPr>
              <w:t>3</w:t>
            </w:r>
            <w:r>
              <w:rPr>
                <w:rFonts w:hint="default" w:ascii="Times New Roman" w:hAnsi="Times New Roman" w:cs="Times New Roman"/>
              </w:rPr>
              <w:t>万元</w:t>
            </w:r>
          </w:p>
        </w:tc>
        <w:tc>
          <w:tcPr>
            <w:tcW w:w="703" w:type="dxa"/>
            <w:gridSpan w:val="3"/>
            <w:vAlign w:val="center"/>
          </w:tcPr>
          <w:p>
            <w:pPr>
              <w:jc w:val="center"/>
              <w:rPr>
                <w:rFonts w:hint="default" w:ascii="Times New Roman" w:hAnsi="Times New Roman" w:cs="Times New Roman"/>
              </w:rPr>
            </w:pPr>
            <w:r>
              <w:rPr>
                <w:rFonts w:hint="default" w:ascii="Times New Roman" w:hAnsi="Times New Roman" w:cs="Times New Roman"/>
              </w:rPr>
              <w:t>比例</w:t>
            </w:r>
          </w:p>
        </w:tc>
        <w:tc>
          <w:tcPr>
            <w:tcW w:w="1005" w:type="dxa"/>
            <w:gridSpan w:val="2"/>
            <w:vAlign w:val="top"/>
          </w:tcPr>
          <w:p>
            <w:pPr>
              <w:jc w:val="right"/>
              <w:rPr>
                <w:rFonts w:hint="default" w:ascii="Times New Roman" w:hAnsi="Times New Roman" w:cs="Times New Roman" w:eastAsiaTheme="minorEastAsia"/>
                <w:lang w:val="en-US" w:eastAsia="zh-CN"/>
              </w:rPr>
            </w:pPr>
            <w:r>
              <w:rPr>
                <w:rFonts w:hint="eastAsia" w:cs="Times New Roman"/>
                <w:lang w:val="en-US" w:eastAsia="zh-CN"/>
              </w:rPr>
              <w:t>15</w:t>
            </w: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rPr>
              <w:t>环保设施施工单位</w:t>
            </w:r>
          </w:p>
        </w:tc>
        <w:tc>
          <w:tcPr>
            <w:tcW w:w="3624" w:type="dxa"/>
            <w:gridSpan w:val="6"/>
            <w:vAlign w:val="center"/>
          </w:tcPr>
          <w:p>
            <w:pPr>
              <w:jc w:val="center"/>
              <w:rPr>
                <w:rFonts w:hint="eastAsia" w:ascii="Times New Roman" w:hAnsi="Times New Roman" w:eastAsia="宋体" w:cs="Times New Roman"/>
                <w:lang w:val="en-US" w:eastAsia="zh-CN"/>
              </w:rPr>
            </w:pPr>
            <w:r>
              <w:rPr>
                <w:rFonts w:hint="eastAsia" w:cs="Times New Roman"/>
                <w:lang w:val="en-US" w:eastAsia="zh-CN"/>
              </w:rPr>
              <w:t>/</w:t>
            </w:r>
          </w:p>
        </w:tc>
        <w:tc>
          <w:tcPr>
            <w:tcW w:w="1590" w:type="dxa"/>
            <w:gridSpan w:val="5"/>
            <w:vAlign w:val="center"/>
          </w:tcPr>
          <w:p>
            <w:pPr>
              <w:jc w:val="center"/>
              <w:rPr>
                <w:rFonts w:hint="default" w:ascii="Times New Roman" w:hAnsi="Times New Roman" w:cs="Times New Roman"/>
              </w:rPr>
            </w:pPr>
            <w:r>
              <w:rPr>
                <w:rFonts w:hint="default" w:ascii="Times New Roman" w:hAnsi="Times New Roman" w:cs="Times New Roman"/>
              </w:rPr>
              <w:t>实际总投资</w:t>
            </w:r>
          </w:p>
        </w:tc>
        <w:tc>
          <w:tcPr>
            <w:tcW w:w="3312" w:type="dxa"/>
            <w:gridSpan w:val="10"/>
            <w:vAlign w:val="center"/>
          </w:tcPr>
          <w:p>
            <w:pPr>
              <w:jc w:val="right"/>
              <w:rPr>
                <w:rFonts w:hint="default" w:ascii="Times New Roman" w:hAnsi="Times New Roman" w:cs="Times New Roman"/>
              </w:rPr>
            </w:pPr>
            <w:r>
              <w:rPr>
                <w:rFonts w:hint="eastAsia" w:cs="Times New Roman"/>
                <w:lang w:val="en-US" w:eastAsia="zh-CN"/>
              </w:rPr>
              <w:t>20</w:t>
            </w:r>
            <w:r>
              <w:rPr>
                <w:rFonts w:hint="default" w:ascii="Times New Roman" w:hAnsi="Times New Roman"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gridSpan w:val="3"/>
            <w:vAlign w:val="center"/>
          </w:tcPr>
          <w:p>
            <w:pPr>
              <w:jc w:val="center"/>
              <w:rPr>
                <w:rFonts w:hint="default" w:ascii="Times New Roman" w:hAnsi="Times New Roman" w:cs="Times New Roman"/>
              </w:rPr>
            </w:pPr>
            <w:r>
              <w:rPr>
                <w:rFonts w:hint="default" w:ascii="Times New Roman" w:hAnsi="Times New Roman" w:cs="Times New Roman"/>
              </w:rPr>
              <w:t>环保验收监测单位</w:t>
            </w:r>
          </w:p>
        </w:tc>
        <w:tc>
          <w:tcPr>
            <w:tcW w:w="3624" w:type="dxa"/>
            <w:gridSpan w:val="6"/>
            <w:vAlign w:val="top"/>
          </w:tcPr>
          <w:p>
            <w:pPr>
              <w:rPr>
                <w:rFonts w:hint="default" w:ascii="Times New Roman" w:hAnsi="Times New Roman" w:cs="Times New Roman" w:eastAsiaTheme="minorEastAsia"/>
                <w:lang w:eastAsia="zh-CN"/>
              </w:rPr>
            </w:pPr>
            <w:r>
              <w:rPr>
                <w:rFonts w:hint="default" w:ascii="Times New Roman" w:hAnsi="Times New Roman" w:cs="Times New Roman"/>
                <w:lang w:eastAsia="zh-CN"/>
              </w:rPr>
              <w:t>浙江华标检测技术有限公司</w:t>
            </w:r>
          </w:p>
        </w:tc>
        <w:tc>
          <w:tcPr>
            <w:tcW w:w="1590" w:type="dxa"/>
            <w:gridSpan w:val="5"/>
            <w:vAlign w:val="center"/>
          </w:tcPr>
          <w:p>
            <w:pPr>
              <w:jc w:val="center"/>
              <w:rPr>
                <w:rFonts w:hint="default" w:ascii="Times New Roman" w:hAnsi="Times New Roman" w:cs="Times New Roman"/>
              </w:rPr>
            </w:pPr>
            <w:r>
              <w:rPr>
                <w:rFonts w:hint="default" w:ascii="Times New Roman" w:hAnsi="Times New Roman" w:cs="Times New Roman"/>
              </w:rPr>
              <w:t>环保投资</w:t>
            </w:r>
          </w:p>
        </w:tc>
        <w:tc>
          <w:tcPr>
            <w:tcW w:w="1604" w:type="dxa"/>
            <w:gridSpan w:val="5"/>
            <w:vAlign w:val="top"/>
          </w:tcPr>
          <w:p>
            <w:pPr>
              <w:jc w:val="right"/>
              <w:rPr>
                <w:rFonts w:hint="default" w:ascii="Times New Roman" w:hAnsi="Times New Roman" w:cs="Times New Roman"/>
              </w:rPr>
            </w:pPr>
            <w:r>
              <w:rPr>
                <w:rFonts w:hint="eastAsia" w:cs="Times New Roman"/>
                <w:lang w:val="en-US" w:eastAsia="zh-CN"/>
              </w:rPr>
              <w:t>3</w:t>
            </w:r>
            <w:r>
              <w:rPr>
                <w:rFonts w:hint="default" w:ascii="Times New Roman" w:hAnsi="Times New Roman" w:cs="Times New Roman"/>
              </w:rPr>
              <w:t>万元</w:t>
            </w:r>
          </w:p>
        </w:tc>
        <w:tc>
          <w:tcPr>
            <w:tcW w:w="703" w:type="dxa"/>
            <w:gridSpan w:val="3"/>
            <w:vAlign w:val="center"/>
          </w:tcPr>
          <w:p>
            <w:pPr>
              <w:jc w:val="center"/>
              <w:rPr>
                <w:rFonts w:hint="default" w:ascii="Times New Roman" w:hAnsi="Times New Roman" w:cs="Times New Roman"/>
              </w:rPr>
            </w:pPr>
            <w:r>
              <w:rPr>
                <w:rFonts w:hint="default" w:ascii="Times New Roman" w:hAnsi="Times New Roman" w:cs="Times New Roman"/>
              </w:rPr>
              <w:t>比例</w:t>
            </w:r>
          </w:p>
        </w:tc>
        <w:tc>
          <w:tcPr>
            <w:tcW w:w="1005" w:type="dxa"/>
            <w:gridSpan w:val="2"/>
            <w:vAlign w:val="top"/>
          </w:tcPr>
          <w:p>
            <w:pPr>
              <w:jc w:val="right"/>
              <w:rPr>
                <w:rFonts w:hint="default" w:ascii="Times New Roman" w:hAnsi="Times New Roman" w:cs="Times New Roman" w:eastAsiaTheme="minorEastAsia"/>
                <w:lang w:val="en-US" w:eastAsia="zh-CN"/>
              </w:rPr>
            </w:pPr>
            <w:r>
              <w:rPr>
                <w:rFonts w:hint="eastAsia" w:cs="Times New Roman"/>
                <w:lang w:val="en-US" w:eastAsia="zh-CN"/>
              </w:rPr>
              <w:t>15</w:t>
            </w: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383" w:type="dxa"/>
            <w:gridSpan w:val="4"/>
            <w:vAlign w:val="top"/>
          </w:tcPr>
          <w:p>
            <w:pPr>
              <w:rPr>
                <w:rFonts w:hint="default" w:ascii="Times New Roman" w:hAnsi="Times New Roman" w:cs="Times New Roman"/>
              </w:rPr>
            </w:pPr>
            <w:r>
              <w:rPr>
                <w:rFonts w:hint="default" w:ascii="Times New Roman" w:hAnsi="Times New Roman" w:cs="Times New Roman"/>
              </w:rPr>
              <w:t>新增废水处理设施能力</w:t>
            </w:r>
          </w:p>
        </w:tc>
        <w:tc>
          <w:tcPr>
            <w:tcW w:w="3155" w:type="dxa"/>
            <w:gridSpan w:val="5"/>
            <w:vAlign w:val="top"/>
          </w:tcPr>
          <w:p>
            <w:pPr>
              <w:wordWrap w:val="0"/>
              <w:jc w:val="right"/>
              <w:rPr>
                <w:rFonts w:hint="default" w:ascii="Times New Roman" w:hAnsi="Times New Roman" w:cs="Times New Roman"/>
              </w:rPr>
            </w:pPr>
            <w:r>
              <w:rPr>
                <w:rFonts w:hint="default" w:ascii="Times New Roman" w:hAnsi="Times New Roman" w:cs="Times New Roman"/>
              </w:rPr>
              <w:t>吨/小时</w:t>
            </w:r>
          </w:p>
        </w:tc>
        <w:tc>
          <w:tcPr>
            <w:tcW w:w="2467" w:type="dxa"/>
            <w:gridSpan w:val="7"/>
            <w:vAlign w:val="top"/>
          </w:tcPr>
          <w:p>
            <w:pPr>
              <w:rPr>
                <w:rFonts w:hint="default" w:ascii="Times New Roman" w:hAnsi="Times New Roman" w:cs="Times New Roman"/>
              </w:rPr>
            </w:pPr>
            <w:r>
              <w:rPr>
                <w:rFonts w:hint="default" w:ascii="Times New Roman" w:hAnsi="Times New Roman" w:cs="Times New Roman"/>
              </w:rPr>
              <w:t>新增废气处理设施能力</w:t>
            </w:r>
          </w:p>
        </w:tc>
        <w:tc>
          <w:tcPr>
            <w:tcW w:w="2435" w:type="dxa"/>
            <w:gridSpan w:val="8"/>
            <w:vAlign w:val="top"/>
          </w:tcPr>
          <w:p>
            <w:pPr>
              <w:wordWrap w:val="0"/>
              <w:jc w:val="right"/>
              <w:rPr>
                <w:rFonts w:hint="default" w:ascii="Times New Roman" w:hAnsi="Times New Roman" w:cs="Times New Roman"/>
              </w:rPr>
            </w:pPr>
            <w:r>
              <w:rPr>
                <w:rFonts w:hint="default" w:ascii="Times New Roman" w:hAnsi="Times New Roman" w:cs="Times New Roman"/>
              </w:rPr>
              <w:t>标立方米/时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0440" w:type="dxa"/>
            <w:gridSpan w:val="24"/>
            <w:vAlign w:val="top"/>
          </w:tcPr>
          <w:p>
            <w:pPr>
              <w:jc w:val="center"/>
              <w:rPr>
                <w:rFonts w:hint="default" w:ascii="Times New Roman" w:hAnsi="Times New Roman" w:cs="Times New Roman"/>
                <w:spacing w:val="200"/>
              </w:rPr>
            </w:pPr>
            <w:r>
              <w:rPr>
                <w:rFonts w:hint="default" w:ascii="Times New Roman" w:hAnsi="Times New Roman" w:cs="Times New Roman"/>
                <w:spacing w:val="200"/>
              </w:rPr>
              <w:t>污染控制指标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056" w:type="dxa"/>
            <w:vAlign w:val="center"/>
          </w:tcPr>
          <w:p>
            <w:pPr>
              <w:jc w:val="center"/>
              <w:rPr>
                <w:rFonts w:hint="default" w:ascii="Times New Roman" w:hAnsi="Times New Roman" w:cs="Times New Roman"/>
              </w:rPr>
            </w:pPr>
            <w:r>
              <w:rPr>
                <w:rFonts w:hint="default" w:ascii="Times New Roman" w:hAnsi="Times New Roman" w:cs="Times New Roman"/>
              </w:rPr>
              <w:t>控制</w:t>
            </w:r>
          </w:p>
          <w:p>
            <w:pPr>
              <w:jc w:val="center"/>
              <w:rPr>
                <w:rFonts w:hint="default" w:ascii="Times New Roman" w:hAnsi="Times New Roman" w:cs="Times New Roman"/>
              </w:rPr>
            </w:pPr>
            <w:r>
              <w:rPr>
                <w:rFonts w:hint="default" w:ascii="Times New Roman" w:hAnsi="Times New Roman" w:cs="Times New Roman"/>
              </w:rPr>
              <w:t>项目</w:t>
            </w:r>
          </w:p>
        </w:tc>
        <w:tc>
          <w:tcPr>
            <w:tcW w:w="843" w:type="dxa"/>
            <w:vAlign w:val="center"/>
          </w:tcPr>
          <w:p>
            <w:pPr>
              <w:jc w:val="center"/>
              <w:rPr>
                <w:rFonts w:hint="default" w:ascii="Times New Roman" w:hAnsi="Times New Roman" w:cs="Times New Roman"/>
              </w:rPr>
            </w:pPr>
            <w:r>
              <w:rPr>
                <w:rFonts w:hint="default" w:ascii="Times New Roman" w:hAnsi="Times New Roman" w:cs="Times New Roman"/>
              </w:rPr>
              <w:t>原有排放量（1）</w:t>
            </w:r>
          </w:p>
        </w:tc>
        <w:tc>
          <w:tcPr>
            <w:tcW w:w="842" w:type="dxa"/>
            <w:gridSpan w:val="3"/>
            <w:vAlign w:val="center"/>
          </w:tcPr>
          <w:p>
            <w:pPr>
              <w:jc w:val="center"/>
              <w:rPr>
                <w:rFonts w:hint="default" w:ascii="Times New Roman" w:hAnsi="Times New Roman" w:cs="Times New Roman"/>
              </w:rPr>
            </w:pPr>
            <w:r>
              <w:rPr>
                <w:rFonts w:hint="default" w:ascii="Times New Roman" w:hAnsi="Times New Roman" w:cs="Times New Roman"/>
              </w:rPr>
              <w:t>新建部分产生量（2）</w:t>
            </w:r>
          </w:p>
        </w:tc>
        <w:tc>
          <w:tcPr>
            <w:tcW w:w="947" w:type="dxa"/>
            <w:vAlign w:val="center"/>
          </w:tcPr>
          <w:p>
            <w:pPr>
              <w:jc w:val="center"/>
              <w:rPr>
                <w:rFonts w:hint="default" w:ascii="Times New Roman" w:hAnsi="Times New Roman" w:cs="Times New Roman"/>
              </w:rPr>
            </w:pPr>
            <w:r>
              <w:rPr>
                <w:rFonts w:hint="default" w:ascii="Times New Roman" w:hAnsi="Times New Roman" w:cs="Times New Roman"/>
              </w:rPr>
              <w:t>新建部分处理削减量（3）</w:t>
            </w:r>
          </w:p>
        </w:tc>
        <w:tc>
          <w:tcPr>
            <w:tcW w:w="762" w:type="dxa"/>
            <w:vAlign w:val="center"/>
          </w:tcPr>
          <w:p>
            <w:pPr>
              <w:jc w:val="center"/>
              <w:rPr>
                <w:rFonts w:hint="default" w:ascii="Times New Roman" w:hAnsi="Times New Roman" w:cs="Times New Roman"/>
              </w:rPr>
            </w:pPr>
            <w:r>
              <w:rPr>
                <w:rFonts w:hint="default" w:ascii="Times New Roman" w:hAnsi="Times New Roman" w:cs="Times New Roman"/>
              </w:rPr>
              <w:t>以新带老削减量（4）</w:t>
            </w:r>
          </w:p>
        </w:tc>
        <w:tc>
          <w:tcPr>
            <w:tcW w:w="818" w:type="dxa"/>
            <w:vAlign w:val="center"/>
          </w:tcPr>
          <w:p>
            <w:pPr>
              <w:jc w:val="center"/>
              <w:rPr>
                <w:rFonts w:hint="default" w:ascii="Times New Roman" w:hAnsi="Times New Roman" w:cs="Times New Roman"/>
              </w:rPr>
            </w:pPr>
            <w:r>
              <w:rPr>
                <w:rFonts w:hint="default" w:ascii="Times New Roman" w:hAnsi="Times New Roman" w:cs="Times New Roman"/>
              </w:rPr>
              <w:t>排放增减量（5）</w:t>
            </w:r>
          </w:p>
        </w:tc>
        <w:tc>
          <w:tcPr>
            <w:tcW w:w="842" w:type="dxa"/>
            <w:gridSpan w:val="2"/>
            <w:vAlign w:val="center"/>
          </w:tcPr>
          <w:p>
            <w:pPr>
              <w:jc w:val="center"/>
              <w:rPr>
                <w:rFonts w:hint="default" w:ascii="Times New Roman" w:hAnsi="Times New Roman" w:cs="Times New Roman"/>
              </w:rPr>
            </w:pPr>
            <w:r>
              <w:rPr>
                <w:rFonts w:hint="default" w:ascii="Times New Roman" w:hAnsi="Times New Roman" w:cs="Times New Roman"/>
              </w:rPr>
              <w:t>排放总量（6）</w:t>
            </w:r>
          </w:p>
        </w:tc>
        <w:tc>
          <w:tcPr>
            <w:tcW w:w="847" w:type="dxa"/>
            <w:gridSpan w:val="3"/>
            <w:vAlign w:val="center"/>
          </w:tcPr>
          <w:p>
            <w:pPr>
              <w:jc w:val="center"/>
              <w:rPr>
                <w:rFonts w:hint="default" w:ascii="Times New Roman" w:hAnsi="Times New Roman" w:cs="Times New Roman"/>
              </w:rPr>
            </w:pPr>
            <w:r>
              <w:rPr>
                <w:rFonts w:hint="default" w:ascii="Times New Roman" w:hAnsi="Times New Roman" w:cs="Times New Roman"/>
              </w:rPr>
              <w:t>允许排放量（7）</w:t>
            </w:r>
          </w:p>
        </w:tc>
        <w:tc>
          <w:tcPr>
            <w:tcW w:w="873" w:type="dxa"/>
            <w:gridSpan w:val="2"/>
            <w:vAlign w:val="center"/>
          </w:tcPr>
          <w:p>
            <w:pPr>
              <w:jc w:val="center"/>
              <w:rPr>
                <w:rFonts w:hint="default" w:ascii="Times New Roman" w:hAnsi="Times New Roman" w:cs="Times New Roman"/>
              </w:rPr>
            </w:pPr>
            <w:r>
              <w:rPr>
                <w:rFonts w:hint="default" w:ascii="Times New Roman" w:hAnsi="Times New Roman" w:cs="Times New Roman"/>
              </w:rPr>
              <w:t>区域削减量（8）</w:t>
            </w:r>
          </w:p>
        </w:tc>
        <w:tc>
          <w:tcPr>
            <w:tcW w:w="869" w:type="dxa"/>
            <w:gridSpan w:val="3"/>
            <w:vAlign w:val="center"/>
          </w:tcPr>
          <w:p>
            <w:pPr>
              <w:jc w:val="center"/>
              <w:rPr>
                <w:rFonts w:hint="default" w:ascii="Times New Roman" w:hAnsi="Times New Roman" w:cs="Times New Roman"/>
              </w:rPr>
            </w:pPr>
            <w:r>
              <w:rPr>
                <w:rFonts w:hint="default" w:ascii="Times New Roman" w:hAnsi="Times New Roman" w:cs="Times New Roman"/>
              </w:rPr>
              <w:t>处理前浓度（9）</w:t>
            </w:r>
          </w:p>
        </w:tc>
        <w:tc>
          <w:tcPr>
            <w:tcW w:w="886" w:type="dxa"/>
            <w:gridSpan w:val="5"/>
            <w:vAlign w:val="center"/>
          </w:tcPr>
          <w:p>
            <w:pPr>
              <w:jc w:val="center"/>
              <w:rPr>
                <w:rFonts w:hint="default" w:ascii="Times New Roman" w:hAnsi="Times New Roman" w:cs="Times New Roman"/>
              </w:rPr>
            </w:pPr>
            <w:r>
              <w:rPr>
                <w:rFonts w:hint="default" w:ascii="Times New Roman" w:hAnsi="Times New Roman" w:cs="Times New Roman"/>
              </w:rPr>
              <w:t>实际排放浓度（10）</w:t>
            </w:r>
          </w:p>
        </w:tc>
        <w:tc>
          <w:tcPr>
            <w:tcW w:w="855" w:type="dxa"/>
            <w:vAlign w:val="center"/>
          </w:tcPr>
          <w:p>
            <w:pPr>
              <w:jc w:val="center"/>
              <w:rPr>
                <w:rFonts w:hint="default" w:ascii="Times New Roman" w:hAnsi="Times New Roman" w:cs="Times New Roman"/>
              </w:rPr>
            </w:pPr>
            <w:r>
              <w:rPr>
                <w:rFonts w:hint="default" w:ascii="Times New Roman" w:hAnsi="Times New Roman" w:cs="Times New Roman"/>
              </w:rPr>
              <w:t>允许排放浓度（11）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56" w:type="dxa"/>
            <w:vAlign w:val="center"/>
          </w:tcPr>
          <w:p>
            <w:pPr>
              <w:jc w:val="center"/>
              <w:rPr>
                <w:rFonts w:hint="default" w:ascii="Times New Roman" w:hAnsi="Times New Roman" w:cs="Times New Roman"/>
              </w:rPr>
            </w:pPr>
            <w:r>
              <w:rPr>
                <w:rFonts w:hint="default" w:ascii="Times New Roman" w:hAnsi="Times New Roman" w:cs="Times New Roman"/>
              </w:rPr>
              <w:t>废水</w:t>
            </w:r>
          </w:p>
        </w:tc>
        <w:tc>
          <w:tcPr>
            <w:tcW w:w="843" w:type="dxa"/>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w:t>
            </w:r>
          </w:p>
        </w:tc>
        <w:tc>
          <w:tcPr>
            <w:tcW w:w="842" w:type="dxa"/>
            <w:gridSpan w:val="3"/>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947" w:type="dxa"/>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c>
          <w:tcPr>
            <w:tcW w:w="762"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18"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42" w:type="dxa"/>
            <w:gridSpan w:val="2"/>
            <w:vAlign w:val="center"/>
          </w:tcPr>
          <w:p>
            <w:pPr>
              <w:jc w:val="center"/>
              <w:rPr>
                <w:rFonts w:hint="eastAsia" w:ascii="Times New Roman" w:hAnsi="Times New Roman" w:eastAsia="宋体" w:cs="Times New Roman"/>
                <w:color w:val="auto"/>
                <w:lang w:val="en-US" w:eastAsia="zh-CN"/>
              </w:rPr>
            </w:pPr>
            <w:r>
              <w:rPr>
                <w:rFonts w:hint="eastAsia" w:cs="Times New Roman" w:eastAsiaTheme="minorEastAsia"/>
                <w:lang w:val="en-US" w:eastAsia="zh-CN"/>
              </w:rPr>
              <w:t>/</w:t>
            </w:r>
          </w:p>
        </w:tc>
        <w:tc>
          <w:tcPr>
            <w:tcW w:w="847" w:type="dxa"/>
            <w:gridSpan w:val="3"/>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c>
          <w:tcPr>
            <w:tcW w:w="873" w:type="dxa"/>
            <w:gridSpan w:val="2"/>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69" w:type="dxa"/>
            <w:gridSpan w:val="3"/>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c>
          <w:tcPr>
            <w:tcW w:w="886" w:type="dxa"/>
            <w:gridSpan w:val="5"/>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c>
          <w:tcPr>
            <w:tcW w:w="855" w:type="dxa"/>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56" w:type="dxa"/>
            <w:vAlign w:val="center"/>
          </w:tcPr>
          <w:p>
            <w:pPr>
              <w:jc w:val="center"/>
              <w:rPr>
                <w:rFonts w:hint="default" w:ascii="Times New Roman" w:hAnsi="Times New Roman" w:cs="Times New Roman"/>
              </w:rPr>
            </w:pPr>
            <w:r>
              <w:rPr>
                <w:rFonts w:hint="default" w:ascii="Times New Roman" w:hAnsi="Times New Roman" w:cs="Times New Roman"/>
              </w:rPr>
              <w:t>COD</w:t>
            </w:r>
            <w:r>
              <w:rPr>
                <w:rFonts w:hint="default" w:ascii="Times New Roman" w:hAnsi="Times New Roman" w:cs="Times New Roman"/>
                <w:lang w:val="en-US" w:eastAsia="zh-CN"/>
              </w:rPr>
              <w:t>cr</w:t>
            </w:r>
          </w:p>
        </w:tc>
        <w:tc>
          <w:tcPr>
            <w:tcW w:w="843" w:type="dxa"/>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w:t>
            </w:r>
          </w:p>
        </w:tc>
        <w:tc>
          <w:tcPr>
            <w:tcW w:w="842" w:type="dxa"/>
            <w:gridSpan w:val="3"/>
            <w:vAlign w:val="center"/>
          </w:tcPr>
          <w:p>
            <w:pPr>
              <w:jc w:val="center"/>
              <w:rPr>
                <w:rFonts w:hint="default" w:ascii="Times New Roman" w:hAnsi="Times New Roman" w:cs="Times New Roman" w:eastAsiaTheme="minorEastAsia"/>
                <w:color w:val="00B050"/>
                <w:lang w:val="en-US" w:eastAsia="zh-CN"/>
              </w:rPr>
            </w:pPr>
            <w:r>
              <w:rPr>
                <w:rFonts w:hint="eastAsia" w:cs="Times New Roman" w:eastAsiaTheme="minorEastAsia"/>
                <w:lang w:val="en-US" w:eastAsia="zh-CN"/>
              </w:rPr>
              <w:t>/</w:t>
            </w:r>
          </w:p>
        </w:tc>
        <w:tc>
          <w:tcPr>
            <w:tcW w:w="947" w:type="dxa"/>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c>
          <w:tcPr>
            <w:tcW w:w="762"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18"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42" w:type="dxa"/>
            <w:gridSpan w:val="2"/>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color w:val="auto"/>
                <w:lang w:val="en-US" w:eastAsia="zh-CN"/>
              </w:rPr>
              <w:t>0.0068</w:t>
            </w:r>
          </w:p>
        </w:tc>
        <w:tc>
          <w:tcPr>
            <w:tcW w:w="847" w:type="dxa"/>
            <w:gridSpan w:val="3"/>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color w:val="auto"/>
                <w:lang w:val="en-US" w:eastAsia="zh-CN"/>
              </w:rPr>
              <w:t>0.0070</w:t>
            </w:r>
          </w:p>
        </w:tc>
        <w:tc>
          <w:tcPr>
            <w:tcW w:w="873" w:type="dxa"/>
            <w:gridSpan w:val="2"/>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69" w:type="dxa"/>
            <w:gridSpan w:val="3"/>
            <w:vAlign w:val="center"/>
          </w:tcPr>
          <w:p>
            <w:pPr>
              <w:jc w:val="center"/>
              <w:rPr>
                <w:rFonts w:hint="default" w:ascii="Times New Roman" w:hAnsi="Times New Roman" w:eastAsia="宋体" w:cs="Times New Roman"/>
                <w:color w:val="auto"/>
                <w:lang w:val="en-US" w:eastAsia="zh-CN"/>
              </w:rPr>
            </w:pPr>
            <w:r>
              <w:rPr>
                <w:rFonts w:hint="eastAsia" w:cs="Times New Roman" w:eastAsiaTheme="minorEastAsia"/>
                <w:lang w:val="en-US" w:eastAsia="zh-CN"/>
              </w:rPr>
              <w:t>/</w:t>
            </w:r>
          </w:p>
        </w:tc>
        <w:tc>
          <w:tcPr>
            <w:tcW w:w="886" w:type="dxa"/>
            <w:gridSpan w:val="5"/>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55"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56" w:type="dxa"/>
            <w:vAlign w:val="center"/>
          </w:tcPr>
          <w:p>
            <w:pPr>
              <w:jc w:val="center"/>
              <w:rPr>
                <w:rFonts w:hint="default" w:ascii="Times New Roman" w:hAnsi="Times New Roman" w:cs="Times New Roman"/>
              </w:rPr>
            </w:pPr>
            <w:r>
              <w:rPr>
                <w:rFonts w:hint="default" w:ascii="Times New Roman" w:hAnsi="Times New Roman" w:cs="Times New Roman"/>
              </w:rPr>
              <w:t>氨氮</w:t>
            </w:r>
          </w:p>
        </w:tc>
        <w:tc>
          <w:tcPr>
            <w:tcW w:w="843" w:type="dxa"/>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w:t>
            </w:r>
          </w:p>
        </w:tc>
        <w:tc>
          <w:tcPr>
            <w:tcW w:w="842" w:type="dxa"/>
            <w:gridSpan w:val="3"/>
            <w:vAlign w:val="center"/>
          </w:tcPr>
          <w:p>
            <w:pPr>
              <w:jc w:val="center"/>
              <w:rPr>
                <w:rFonts w:hint="default" w:ascii="Times New Roman" w:hAnsi="Times New Roman" w:cs="Times New Roman" w:eastAsiaTheme="minorEastAsia"/>
                <w:color w:val="00B050"/>
                <w:lang w:val="en-US" w:eastAsia="zh-CN"/>
              </w:rPr>
            </w:pPr>
            <w:r>
              <w:rPr>
                <w:rFonts w:hint="eastAsia" w:cs="Times New Roman" w:eastAsiaTheme="minorEastAsia"/>
                <w:lang w:val="en-US" w:eastAsia="zh-CN"/>
              </w:rPr>
              <w:t>/</w:t>
            </w:r>
          </w:p>
        </w:tc>
        <w:tc>
          <w:tcPr>
            <w:tcW w:w="947" w:type="dxa"/>
            <w:vAlign w:val="center"/>
          </w:tcPr>
          <w:p>
            <w:pPr>
              <w:jc w:val="center"/>
              <w:rPr>
                <w:rFonts w:hint="default" w:ascii="Times New Roman" w:hAnsi="Times New Roman" w:cs="Times New Roman"/>
                <w:color w:val="auto"/>
              </w:rPr>
            </w:pPr>
            <w:r>
              <w:rPr>
                <w:rFonts w:hint="eastAsia" w:cs="Times New Roman" w:eastAsiaTheme="minorEastAsia"/>
                <w:lang w:val="en-US" w:eastAsia="zh-CN"/>
              </w:rPr>
              <w:t>/</w:t>
            </w:r>
          </w:p>
        </w:tc>
        <w:tc>
          <w:tcPr>
            <w:tcW w:w="762"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18"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42" w:type="dxa"/>
            <w:gridSpan w:val="2"/>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color w:val="auto"/>
                <w:lang w:val="en-US" w:eastAsia="zh-CN"/>
              </w:rPr>
              <w:t>0.0010</w:t>
            </w:r>
          </w:p>
        </w:tc>
        <w:tc>
          <w:tcPr>
            <w:tcW w:w="847" w:type="dxa"/>
            <w:gridSpan w:val="3"/>
            <w:vAlign w:val="center"/>
          </w:tcPr>
          <w:p>
            <w:pPr>
              <w:jc w:val="center"/>
              <w:rPr>
                <w:rFonts w:hint="default" w:ascii="Times New Roman" w:hAnsi="Times New Roman" w:cs="Times New Roman"/>
                <w:color w:val="auto"/>
                <w:kern w:val="2"/>
                <w:lang w:val="en-US" w:eastAsia="zh-CN"/>
              </w:rPr>
            </w:pPr>
            <w:r>
              <w:rPr>
                <w:rFonts w:hint="eastAsia" w:cs="Times New Roman"/>
                <w:color w:val="auto"/>
                <w:kern w:val="2"/>
                <w:lang w:val="en-US" w:eastAsia="zh-CN"/>
              </w:rPr>
              <w:t>0.011</w:t>
            </w:r>
          </w:p>
        </w:tc>
        <w:tc>
          <w:tcPr>
            <w:tcW w:w="873" w:type="dxa"/>
            <w:gridSpan w:val="2"/>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69" w:type="dxa"/>
            <w:gridSpan w:val="3"/>
            <w:vAlign w:val="center"/>
          </w:tcPr>
          <w:p>
            <w:pPr>
              <w:jc w:val="center"/>
              <w:rPr>
                <w:rFonts w:hint="default" w:ascii="Times New Roman" w:hAnsi="Times New Roman" w:eastAsia="宋体" w:cs="Times New Roman"/>
                <w:color w:val="auto"/>
                <w:lang w:val="en-US" w:eastAsia="zh-CN"/>
              </w:rPr>
            </w:pPr>
            <w:r>
              <w:rPr>
                <w:rFonts w:hint="eastAsia" w:cs="Times New Roman" w:eastAsiaTheme="minorEastAsia"/>
                <w:lang w:val="en-US" w:eastAsia="zh-CN"/>
              </w:rPr>
              <w:t>/</w:t>
            </w:r>
          </w:p>
        </w:tc>
        <w:tc>
          <w:tcPr>
            <w:tcW w:w="886" w:type="dxa"/>
            <w:gridSpan w:val="5"/>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c>
          <w:tcPr>
            <w:tcW w:w="855" w:type="dxa"/>
            <w:vAlign w:val="center"/>
          </w:tcPr>
          <w:p>
            <w:pPr>
              <w:jc w:val="center"/>
              <w:rPr>
                <w:rFonts w:hint="default" w:ascii="Times New Roman" w:hAnsi="Times New Roman" w:cs="Times New Roman" w:eastAsiaTheme="minorEastAsia"/>
                <w:color w:val="auto"/>
                <w:lang w:val="en-US" w:eastAsia="zh-CN"/>
              </w:rPr>
            </w:pPr>
            <w:r>
              <w:rPr>
                <w:rFonts w:hint="eastAsia" w:cs="Times New Roman" w:eastAsiaTheme="minorEastAsia"/>
                <w:lang w:val="en-US" w:eastAsia="zh-CN"/>
              </w:rPr>
              <w:t>/</w:t>
            </w:r>
          </w:p>
        </w:tc>
      </w:tr>
    </w:tbl>
    <w:p>
      <w:pPr>
        <w:spacing w:line="120" w:lineRule="atLeast"/>
        <w:rPr>
          <w:rFonts w:hint="default" w:ascii="Times New Roman" w:hAnsi="Times New Roman" w:cs="Times New Roman"/>
          <w:b/>
          <w:szCs w:val="21"/>
        </w:rPr>
      </w:pPr>
      <w:r>
        <w:rPr>
          <w:rFonts w:hint="default" w:ascii="Times New Roman" w:hAnsi="Times New Roman" w:cs="Times New Roman"/>
        </w:rPr>
        <w:t>编号：</w:t>
      </w:r>
      <w:r>
        <w:rPr>
          <w:rFonts w:hint="default" w:ascii="Times New Roman" w:hAnsi="Times New Roman" w:cs="Times New Roman"/>
          <w:sz w:val="28"/>
        </w:rPr>
        <w:t xml:space="preserve">                                </w:t>
      </w:r>
      <w:r>
        <w:rPr>
          <w:rFonts w:hint="default" w:ascii="Times New Roman" w:hAnsi="Times New Roman" w:cs="Times New Roman"/>
        </w:rPr>
        <w:t xml:space="preserve">                 审批经办人：</w:t>
      </w:r>
    </w:p>
    <w:p>
      <w:pPr>
        <w:rPr>
          <w:rFonts w:hint="default" w:ascii="Times New Roman" w:hAnsi="Times New Roman" w:cs="Times New Roman"/>
        </w:rPr>
      </w:pPr>
      <w:r>
        <w:rPr>
          <w:rFonts w:hint="default" w:ascii="Times New Roman" w:hAnsi="Times New Roman" w:cs="Times New Roman"/>
        </w:rPr>
        <w:t>单位：废气量：</w:t>
      </w:r>
      <w:r>
        <w:rPr>
          <w:rFonts w:hint="default" w:ascii="Times New Roman" w:hAnsi="Times New Roman" w:cs="Times New Roman"/>
          <w:sz w:val="15"/>
        </w:rPr>
        <w:t>╳</w:t>
      </w:r>
      <w:r>
        <w:rPr>
          <w:rFonts w:hint="default" w:ascii="Times New Roman" w:hAnsi="Times New Roman" w:cs="Times New Roman"/>
        </w:rPr>
        <w:t>10</w:t>
      </w:r>
      <w:r>
        <w:rPr>
          <w:rFonts w:hint="default" w:ascii="Times New Roman" w:hAnsi="Times New Roman" w:cs="Times New Roman"/>
          <w:vertAlign w:val="superscript"/>
        </w:rPr>
        <w:t>4</w:t>
      </w:r>
      <w:r>
        <w:rPr>
          <w:rFonts w:hint="default" w:ascii="Times New Roman" w:hAnsi="Times New Roman" w:cs="Times New Roman"/>
        </w:rPr>
        <w:t>标米</w:t>
      </w:r>
      <w:r>
        <w:rPr>
          <w:rFonts w:hint="default" w:ascii="Times New Roman" w:hAnsi="Times New Roman" w:cs="Times New Roman"/>
          <w:vertAlign w:val="superscript"/>
        </w:rPr>
        <w:t>3</w:t>
      </w:r>
      <w:r>
        <w:rPr>
          <w:rFonts w:hint="default" w:ascii="Times New Roman" w:hAnsi="Times New Roman" w:cs="Times New Roman"/>
        </w:rPr>
        <w:t>/年；废水、固废量：吨/年；水中汞、镉、铅、砷、六价铬、氰化物为千克/年，其它项目均为吨/年；废水浓度：毫克/升；废气浓度：毫克/立方米</w:t>
      </w:r>
    </w:p>
    <w:p>
      <w:pPr>
        <w:rPr>
          <w:rFonts w:hint="default" w:ascii="Times New Roman" w:hAnsi="Times New Roman" w:cs="Times New Roman"/>
        </w:rPr>
      </w:pPr>
      <w:r>
        <w:rPr>
          <w:rFonts w:hint="default" w:ascii="Times New Roman" w:hAnsi="Times New Roman" w:cs="Times New Roman"/>
        </w:rPr>
        <w:t>注：此表由监测站填写，附在监测报告最后一页。此表最后一格为该项目的特征污染物。</w:t>
      </w:r>
    </w:p>
    <w:p>
      <w:pPr>
        <w:rPr>
          <w:rFonts w:hint="default" w:ascii="Times New Roman" w:hAnsi="Times New Roman" w:cs="Times New Roman"/>
          <w:sz w:val="24"/>
          <w:szCs w:val="24"/>
        </w:rPr>
      </w:pPr>
      <w:r>
        <w:rPr>
          <w:rFonts w:hint="default" w:ascii="Times New Roman" w:hAnsi="Times New Roman" w:cs="Times New Roman"/>
        </w:rPr>
        <w:t>其中：（5）=（2）-（3）-（4）；（6）=（2）-（3）+（1）-（4）</w:t>
      </w:r>
    </w:p>
    <w:sectPr>
      <w:headerReference r:id="rId4" w:type="default"/>
      <w:footerReference r:id="rId5" w:type="default"/>
      <w:pgSz w:w="11906" w:h="16838"/>
      <w:pgMar w:top="1440" w:right="1440" w:bottom="1440" w:left="1797"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jc w:val="right"/>
                          </w:pPr>
                          <w:r>
                            <w:fldChar w:fldCharType="begin"/>
                          </w:r>
                          <w:r>
                            <w:instrText xml:space="preserve"> PAGE   \* MERGEFORMAT </w:instrText>
                          </w:r>
                          <w:r>
                            <w:fldChar w:fldCharType="separate"/>
                          </w:r>
                          <w:r>
                            <w:rPr>
                              <w:lang w:val="zh-CN"/>
                            </w:rPr>
                            <w:t>15</w:t>
                          </w:r>
                          <w:r>
                            <w:rPr>
                              <w:lang w:val="zh-CN"/>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OE3SsQEA&#10;AEgDAAAOAAAAAAAAAAEAIAAAAB4BAABkcnMvZTJvRG9jLnhtbFBLBQYAAAAABgAGAFkBAABBBQAA&#10;AAA=&#10;">
              <v:fill on="f" focussize="0,0"/>
              <v:stroke on="f"/>
              <v:imagedata o:title=""/>
              <o:lock v:ext="edit" aspectratio="f"/>
              <v:textbox inset="0mm,0mm,0mm,0mm" style="mso-fit-shape-to-text:t;">
                <w:txbxContent>
                  <w:p>
                    <w:pPr>
                      <w:pStyle w:val="15"/>
                      <w:jc w:val="right"/>
                    </w:pPr>
                    <w:r>
                      <w:fldChar w:fldCharType="begin"/>
                    </w:r>
                    <w:r>
                      <w:instrText xml:space="preserve"> PAGE   \* MERGEFORMAT </w:instrText>
                    </w:r>
                    <w:r>
                      <w:fldChar w:fldCharType="separate"/>
                    </w:r>
                    <w:r>
                      <w:rPr>
                        <w:lang w:val="zh-CN"/>
                      </w:rPr>
                      <w:t>15</w:t>
                    </w:r>
                    <w:r>
                      <w:rPr>
                        <w:lang w:val="zh-CN"/>
                      </w:rPr>
                      <w:fldChar w:fldCharType="end"/>
                    </w:r>
                  </w:p>
                </w:txbxContent>
              </v:textbox>
            </v:shape>
          </w:pict>
        </mc:Fallback>
      </mc:AlternateContent>
    </w:r>
    <w:r>
      <w:rPr>
        <w:rFonts w:hint="eastAsia"/>
      </w:rPr>
      <w:t>华标检（201</w:t>
    </w:r>
    <w:r>
      <w:rPr>
        <w:rFonts w:hint="eastAsia"/>
        <w:lang w:val="en-US" w:eastAsia="zh-CN"/>
      </w:rPr>
      <w:t>8</w:t>
    </w:r>
    <w:r>
      <w:rPr>
        <w:rFonts w:hint="eastAsia"/>
      </w:rPr>
      <w:t>）J第</w:t>
    </w:r>
    <w:r>
      <w:rPr>
        <w:rFonts w:hint="eastAsia"/>
        <w:lang w:val="en-US" w:eastAsia="zh-CN"/>
      </w:rPr>
      <w:t>05052</w:t>
    </w:r>
    <w:r>
      <w:rPr>
        <w:rFonts w:hint="eastAsia"/>
      </w:rPr>
      <w:t>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napToGrid w:val="0"/>
      <w:jc w:val="center"/>
      <w:rPr>
        <w:sz w:val="18"/>
        <w:szCs w:val="18"/>
      </w:rPr>
    </w:pPr>
    <w:r>
      <w:rPr>
        <w:rFonts w:hint="eastAsia" w:hAnsi="宋体"/>
        <w:sz w:val="18"/>
        <w:szCs w:val="18"/>
      </w:rPr>
      <w:t>杭州名井精密机械有限公司新建项目竣工环境保护验收监测报告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3D9054"/>
    <w:multiLevelType w:val="singleLevel"/>
    <w:tmpl w:val="C73D9054"/>
    <w:lvl w:ilvl="0" w:tentative="0">
      <w:start w:val="2"/>
      <w:numFmt w:val="decimal"/>
      <w:suff w:val="nothing"/>
      <w:lvlText w:val="（%1）"/>
      <w:lvlJc w:val="left"/>
    </w:lvl>
  </w:abstractNum>
  <w:abstractNum w:abstractNumId="1">
    <w:nsid w:val="586C6FEF"/>
    <w:multiLevelType w:val="singleLevel"/>
    <w:tmpl w:val="586C6FEF"/>
    <w:lvl w:ilvl="0" w:tentative="0">
      <w:start w:val="1"/>
      <w:numFmt w:val="decimal"/>
      <w:suff w:val="nothing"/>
      <w:lvlText w:val="（%1）"/>
      <w:lvlJc w:val="left"/>
    </w:lvl>
  </w:abstractNum>
  <w:abstractNum w:abstractNumId="2">
    <w:nsid w:val="59A7CBBC"/>
    <w:multiLevelType w:val="singleLevel"/>
    <w:tmpl w:val="59A7CBBC"/>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32"/>
    <w:rsid w:val="00002C85"/>
    <w:rsid w:val="00002E7F"/>
    <w:rsid w:val="000050A4"/>
    <w:rsid w:val="000077D9"/>
    <w:rsid w:val="0001085E"/>
    <w:rsid w:val="00015D1C"/>
    <w:rsid w:val="00017138"/>
    <w:rsid w:val="00023B31"/>
    <w:rsid w:val="00023F17"/>
    <w:rsid w:val="000241A0"/>
    <w:rsid w:val="00032C00"/>
    <w:rsid w:val="00036443"/>
    <w:rsid w:val="000435F8"/>
    <w:rsid w:val="000460FA"/>
    <w:rsid w:val="000504C7"/>
    <w:rsid w:val="00053ADC"/>
    <w:rsid w:val="00054B52"/>
    <w:rsid w:val="00055447"/>
    <w:rsid w:val="00056509"/>
    <w:rsid w:val="00063CF0"/>
    <w:rsid w:val="00071B82"/>
    <w:rsid w:val="00073C35"/>
    <w:rsid w:val="00073DCC"/>
    <w:rsid w:val="00082991"/>
    <w:rsid w:val="00083821"/>
    <w:rsid w:val="000868BE"/>
    <w:rsid w:val="00090983"/>
    <w:rsid w:val="00096394"/>
    <w:rsid w:val="00097C10"/>
    <w:rsid w:val="000A1AF1"/>
    <w:rsid w:val="000B2788"/>
    <w:rsid w:val="000C2059"/>
    <w:rsid w:val="000C2AEB"/>
    <w:rsid w:val="000C46AB"/>
    <w:rsid w:val="000D4925"/>
    <w:rsid w:val="000D7244"/>
    <w:rsid w:val="000E53C1"/>
    <w:rsid w:val="000E7A90"/>
    <w:rsid w:val="000F0568"/>
    <w:rsid w:val="000F4237"/>
    <w:rsid w:val="000F695C"/>
    <w:rsid w:val="000F7BB7"/>
    <w:rsid w:val="00100836"/>
    <w:rsid w:val="00101FD9"/>
    <w:rsid w:val="001128DD"/>
    <w:rsid w:val="0011373B"/>
    <w:rsid w:val="001163ED"/>
    <w:rsid w:val="00117501"/>
    <w:rsid w:val="00120450"/>
    <w:rsid w:val="001232CB"/>
    <w:rsid w:val="00124B25"/>
    <w:rsid w:val="00135FCC"/>
    <w:rsid w:val="00137933"/>
    <w:rsid w:val="00146EF4"/>
    <w:rsid w:val="00152246"/>
    <w:rsid w:val="00153304"/>
    <w:rsid w:val="00155A9B"/>
    <w:rsid w:val="00161988"/>
    <w:rsid w:val="0017220A"/>
    <w:rsid w:val="00172A27"/>
    <w:rsid w:val="00175015"/>
    <w:rsid w:val="0017532B"/>
    <w:rsid w:val="001757AB"/>
    <w:rsid w:val="00177500"/>
    <w:rsid w:val="00187558"/>
    <w:rsid w:val="0019294E"/>
    <w:rsid w:val="001A0862"/>
    <w:rsid w:val="001A0A50"/>
    <w:rsid w:val="001A0B85"/>
    <w:rsid w:val="001A3AFC"/>
    <w:rsid w:val="001B2BA3"/>
    <w:rsid w:val="001B4C19"/>
    <w:rsid w:val="001C188D"/>
    <w:rsid w:val="001C1A76"/>
    <w:rsid w:val="001C21E7"/>
    <w:rsid w:val="001C431A"/>
    <w:rsid w:val="001C5145"/>
    <w:rsid w:val="001C6F15"/>
    <w:rsid w:val="001D14A5"/>
    <w:rsid w:val="001D4B39"/>
    <w:rsid w:val="001E29BC"/>
    <w:rsid w:val="001F165E"/>
    <w:rsid w:val="002014C7"/>
    <w:rsid w:val="002043E2"/>
    <w:rsid w:val="002150D1"/>
    <w:rsid w:val="0021556F"/>
    <w:rsid w:val="00215F25"/>
    <w:rsid w:val="0021680A"/>
    <w:rsid w:val="00223C7F"/>
    <w:rsid w:val="0022436B"/>
    <w:rsid w:val="00227D5A"/>
    <w:rsid w:val="0023251D"/>
    <w:rsid w:val="0023541A"/>
    <w:rsid w:val="002359A8"/>
    <w:rsid w:val="00242205"/>
    <w:rsid w:val="00242222"/>
    <w:rsid w:val="00245504"/>
    <w:rsid w:val="00245B8E"/>
    <w:rsid w:val="00264956"/>
    <w:rsid w:val="00267401"/>
    <w:rsid w:val="0026782E"/>
    <w:rsid w:val="00267F05"/>
    <w:rsid w:val="00273094"/>
    <w:rsid w:val="00273298"/>
    <w:rsid w:val="002765BA"/>
    <w:rsid w:val="00277F8D"/>
    <w:rsid w:val="00285680"/>
    <w:rsid w:val="0028601D"/>
    <w:rsid w:val="00286F8F"/>
    <w:rsid w:val="00290777"/>
    <w:rsid w:val="00292BC9"/>
    <w:rsid w:val="002A0472"/>
    <w:rsid w:val="002A1597"/>
    <w:rsid w:val="002A64C7"/>
    <w:rsid w:val="002B0DAA"/>
    <w:rsid w:val="002B1130"/>
    <w:rsid w:val="002B2742"/>
    <w:rsid w:val="002C03C8"/>
    <w:rsid w:val="002D4560"/>
    <w:rsid w:val="002E0427"/>
    <w:rsid w:val="002E0C36"/>
    <w:rsid w:val="002E164C"/>
    <w:rsid w:val="002E4DE4"/>
    <w:rsid w:val="002E5FF8"/>
    <w:rsid w:val="002E7586"/>
    <w:rsid w:val="002E7ABE"/>
    <w:rsid w:val="002F1BE9"/>
    <w:rsid w:val="002F25E1"/>
    <w:rsid w:val="002F4DCA"/>
    <w:rsid w:val="002F5C01"/>
    <w:rsid w:val="00300995"/>
    <w:rsid w:val="00302A5F"/>
    <w:rsid w:val="00304C95"/>
    <w:rsid w:val="00321447"/>
    <w:rsid w:val="0032198D"/>
    <w:rsid w:val="00326143"/>
    <w:rsid w:val="003309C1"/>
    <w:rsid w:val="00335847"/>
    <w:rsid w:val="00336779"/>
    <w:rsid w:val="00337DEE"/>
    <w:rsid w:val="00341192"/>
    <w:rsid w:val="003428FD"/>
    <w:rsid w:val="003431E0"/>
    <w:rsid w:val="003454F4"/>
    <w:rsid w:val="00350D8A"/>
    <w:rsid w:val="00355F26"/>
    <w:rsid w:val="00357DE8"/>
    <w:rsid w:val="00361DF6"/>
    <w:rsid w:val="00362243"/>
    <w:rsid w:val="00363493"/>
    <w:rsid w:val="003637C2"/>
    <w:rsid w:val="003673ED"/>
    <w:rsid w:val="003711E9"/>
    <w:rsid w:val="00371998"/>
    <w:rsid w:val="00374BC9"/>
    <w:rsid w:val="00376977"/>
    <w:rsid w:val="00377555"/>
    <w:rsid w:val="00377773"/>
    <w:rsid w:val="00382038"/>
    <w:rsid w:val="00390EB7"/>
    <w:rsid w:val="00391621"/>
    <w:rsid w:val="0039424B"/>
    <w:rsid w:val="00395C1A"/>
    <w:rsid w:val="003A3DA2"/>
    <w:rsid w:val="003A48AF"/>
    <w:rsid w:val="003A6602"/>
    <w:rsid w:val="003C6EBB"/>
    <w:rsid w:val="003D0E53"/>
    <w:rsid w:val="003D2ED7"/>
    <w:rsid w:val="003D4370"/>
    <w:rsid w:val="003E5494"/>
    <w:rsid w:val="003E702E"/>
    <w:rsid w:val="003F2E8B"/>
    <w:rsid w:val="003F344D"/>
    <w:rsid w:val="0040060B"/>
    <w:rsid w:val="00407DB1"/>
    <w:rsid w:val="00411B9D"/>
    <w:rsid w:val="00415FF9"/>
    <w:rsid w:val="004204E0"/>
    <w:rsid w:val="00422834"/>
    <w:rsid w:val="00424BBE"/>
    <w:rsid w:val="00430247"/>
    <w:rsid w:val="00430608"/>
    <w:rsid w:val="00432B41"/>
    <w:rsid w:val="00434362"/>
    <w:rsid w:val="004420E3"/>
    <w:rsid w:val="00442428"/>
    <w:rsid w:val="00443C8B"/>
    <w:rsid w:val="004445E0"/>
    <w:rsid w:val="004512CC"/>
    <w:rsid w:val="00456B90"/>
    <w:rsid w:val="004606B1"/>
    <w:rsid w:val="004616ED"/>
    <w:rsid w:val="004636A4"/>
    <w:rsid w:val="00466A26"/>
    <w:rsid w:val="0047178A"/>
    <w:rsid w:val="00472D48"/>
    <w:rsid w:val="00481748"/>
    <w:rsid w:val="00482440"/>
    <w:rsid w:val="004836FA"/>
    <w:rsid w:val="004846C4"/>
    <w:rsid w:val="00486B32"/>
    <w:rsid w:val="0049378B"/>
    <w:rsid w:val="004947A8"/>
    <w:rsid w:val="00497606"/>
    <w:rsid w:val="004A3D38"/>
    <w:rsid w:val="004B0798"/>
    <w:rsid w:val="004B4AA8"/>
    <w:rsid w:val="004C5CAF"/>
    <w:rsid w:val="004C6C3A"/>
    <w:rsid w:val="004D1C21"/>
    <w:rsid w:val="004D2B08"/>
    <w:rsid w:val="004D4241"/>
    <w:rsid w:val="004D7495"/>
    <w:rsid w:val="004E1E83"/>
    <w:rsid w:val="004E5E7D"/>
    <w:rsid w:val="004E6651"/>
    <w:rsid w:val="004E7DF8"/>
    <w:rsid w:val="004F6F04"/>
    <w:rsid w:val="0050212D"/>
    <w:rsid w:val="0050469C"/>
    <w:rsid w:val="0050473A"/>
    <w:rsid w:val="005077D3"/>
    <w:rsid w:val="00514D2A"/>
    <w:rsid w:val="00515FA2"/>
    <w:rsid w:val="005215F1"/>
    <w:rsid w:val="005222F1"/>
    <w:rsid w:val="0052626B"/>
    <w:rsid w:val="00527404"/>
    <w:rsid w:val="00527DD7"/>
    <w:rsid w:val="00530DBB"/>
    <w:rsid w:val="0053228D"/>
    <w:rsid w:val="005369F3"/>
    <w:rsid w:val="005403B4"/>
    <w:rsid w:val="005441B1"/>
    <w:rsid w:val="0055173E"/>
    <w:rsid w:val="00557DD8"/>
    <w:rsid w:val="00562AC8"/>
    <w:rsid w:val="00565047"/>
    <w:rsid w:val="005654BC"/>
    <w:rsid w:val="0056676C"/>
    <w:rsid w:val="00567DFA"/>
    <w:rsid w:val="00570BE2"/>
    <w:rsid w:val="00572830"/>
    <w:rsid w:val="00575464"/>
    <w:rsid w:val="005764C1"/>
    <w:rsid w:val="005773CF"/>
    <w:rsid w:val="00580F05"/>
    <w:rsid w:val="00583984"/>
    <w:rsid w:val="005866A8"/>
    <w:rsid w:val="0059311C"/>
    <w:rsid w:val="00593316"/>
    <w:rsid w:val="005945A0"/>
    <w:rsid w:val="005A2FCB"/>
    <w:rsid w:val="005A3BEC"/>
    <w:rsid w:val="005A73DA"/>
    <w:rsid w:val="005B153F"/>
    <w:rsid w:val="005C0E66"/>
    <w:rsid w:val="005C4EE7"/>
    <w:rsid w:val="005C627B"/>
    <w:rsid w:val="005D56E3"/>
    <w:rsid w:val="005D6473"/>
    <w:rsid w:val="005F02AF"/>
    <w:rsid w:val="005F0FE5"/>
    <w:rsid w:val="005F2CB3"/>
    <w:rsid w:val="005F31F5"/>
    <w:rsid w:val="005F658D"/>
    <w:rsid w:val="005F6ACE"/>
    <w:rsid w:val="00601AD8"/>
    <w:rsid w:val="00607F50"/>
    <w:rsid w:val="00611222"/>
    <w:rsid w:val="006141DC"/>
    <w:rsid w:val="00621956"/>
    <w:rsid w:val="00621BEE"/>
    <w:rsid w:val="006226AF"/>
    <w:rsid w:val="006233CA"/>
    <w:rsid w:val="00627A6D"/>
    <w:rsid w:val="00640F81"/>
    <w:rsid w:val="006528F4"/>
    <w:rsid w:val="0065472E"/>
    <w:rsid w:val="0066048B"/>
    <w:rsid w:val="0066281F"/>
    <w:rsid w:val="00663DF4"/>
    <w:rsid w:val="00670D8C"/>
    <w:rsid w:val="0067187F"/>
    <w:rsid w:val="0067223D"/>
    <w:rsid w:val="00672EC4"/>
    <w:rsid w:val="00677051"/>
    <w:rsid w:val="00682498"/>
    <w:rsid w:val="0068328B"/>
    <w:rsid w:val="006862EA"/>
    <w:rsid w:val="00686AB7"/>
    <w:rsid w:val="00691B2D"/>
    <w:rsid w:val="00692243"/>
    <w:rsid w:val="006947FF"/>
    <w:rsid w:val="00695CF1"/>
    <w:rsid w:val="006A002D"/>
    <w:rsid w:val="006A740C"/>
    <w:rsid w:val="006B1912"/>
    <w:rsid w:val="006B2A4A"/>
    <w:rsid w:val="006B4EDE"/>
    <w:rsid w:val="006C1715"/>
    <w:rsid w:val="006C296E"/>
    <w:rsid w:val="006C491F"/>
    <w:rsid w:val="006D3C27"/>
    <w:rsid w:val="006D7997"/>
    <w:rsid w:val="006E43D6"/>
    <w:rsid w:val="006E6D6B"/>
    <w:rsid w:val="006F307D"/>
    <w:rsid w:val="006F7B34"/>
    <w:rsid w:val="00712E2F"/>
    <w:rsid w:val="00714996"/>
    <w:rsid w:val="00714CBC"/>
    <w:rsid w:val="0071605E"/>
    <w:rsid w:val="00722C92"/>
    <w:rsid w:val="0073493A"/>
    <w:rsid w:val="007356A3"/>
    <w:rsid w:val="00737692"/>
    <w:rsid w:val="0074122B"/>
    <w:rsid w:val="00741253"/>
    <w:rsid w:val="0074299B"/>
    <w:rsid w:val="00752F0B"/>
    <w:rsid w:val="007542B2"/>
    <w:rsid w:val="00754CCD"/>
    <w:rsid w:val="007564A8"/>
    <w:rsid w:val="00756753"/>
    <w:rsid w:val="00756AB3"/>
    <w:rsid w:val="0076006C"/>
    <w:rsid w:val="0076793D"/>
    <w:rsid w:val="00774EFF"/>
    <w:rsid w:val="007754C2"/>
    <w:rsid w:val="00777E23"/>
    <w:rsid w:val="0079526F"/>
    <w:rsid w:val="00796CDB"/>
    <w:rsid w:val="007A19C4"/>
    <w:rsid w:val="007A4C37"/>
    <w:rsid w:val="007A5541"/>
    <w:rsid w:val="007B50F9"/>
    <w:rsid w:val="007C279F"/>
    <w:rsid w:val="007C31A2"/>
    <w:rsid w:val="007C4365"/>
    <w:rsid w:val="007D58D1"/>
    <w:rsid w:val="007E099D"/>
    <w:rsid w:val="007E6DB5"/>
    <w:rsid w:val="007E6E5C"/>
    <w:rsid w:val="007E7CE5"/>
    <w:rsid w:val="007F1EB8"/>
    <w:rsid w:val="007F378A"/>
    <w:rsid w:val="007F5319"/>
    <w:rsid w:val="007F536A"/>
    <w:rsid w:val="00800B03"/>
    <w:rsid w:val="00806B44"/>
    <w:rsid w:val="008077DC"/>
    <w:rsid w:val="00812CB5"/>
    <w:rsid w:val="00812E3F"/>
    <w:rsid w:val="008149EC"/>
    <w:rsid w:val="00822A49"/>
    <w:rsid w:val="00822AF7"/>
    <w:rsid w:val="0083002F"/>
    <w:rsid w:val="00835403"/>
    <w:rsid w:val="0083759F"/>
    <w:rsid w:val="00837A17"/>
    <w:rsid w:val="00837DA4"/>
    <w:rsid w:val="008437B7"/>
    <w:rsid w:val="008452E6"/>
    <w:rsid w:val="00845C55"/>
    <w:rsid w:val="00854EB6"/>
    <w:rsid w:val="0086636E"/>
    <w:rsid w:val="00871DF0"/>
    <w:rsid w:val="008727B5"/>
    <w:rsid w:val="00873512"/>
    <w:rsid w:val="0087363D"/>
    <w:rsid w:val="008828CC"/>
    <w:rsid w:val="00895EC9"/>
    <w:rsid w:val="0089614C"/>
    <w:rsid w:val="008A6415"/>
    <w:rsid w:val="008B1BDF"/>
    <w:rsid w:val="008B2AB3"/>
    <w:rsid w:val="008B67AA"/>
    <w:rsid w:val="008C0E40"/>
    <w:rsid w:val="008C18DC"/>
    <w:rsid w:val="008C31BF"/>
    <w:rsid w:val="008C6B8D"/>
    <w:rsid w:val="008D17BF"/>
    <w:rsid w:val="008D250F"/>
    <w:rsid w:val="008D3616"/>
    <w:rsid w:val="008E4A90"/>
    <w:rsid w:val="008F1BD1"/>
    <w:rsid w:val="008F4E0D"/>
    <w:rsid w:val="00901CF3"/>
    <w:rsid w:val="009030B4"/>
    <w:rsid w:val="00912044"/>
    <w:rsid w:val="00925E4B"/>
    <w:rsid w:val="00926B08"/>
    <w:rsid w:val="00935047"/>
    <w:rsid w:val="00937A98"/>
    <w:rsid w:val="00940B9C"/>
    <w:rsid w:val="00943051"/>
    <w:rsid w:val="009440A1"/>
    <w:rsid w:val="00946ACD"/>
    <w:rsid w:val="00947787"/>
    <w:rsid w:val="00947AF6"/>
    <w:rsid w:val="009502A9"/>
    <w:rsid w:val="00955C3B"/>
    <w:rsid w:val="009568EF"/>
    <w:rsid w:val="0095780C"/>
    <w:rsid w:val="0096053C"/>
    <w:rsid w:val="009667AC"/>
    <w:rsid w:val="00966868"/>
    <w:rsid w:val="00967963"/>
    <w:rsid w:val="009702FD"/>
    <w:rsid w:val="009718CA"/>
    <w:rsid w:val="00973C41"/>
    <w:rsid w:val="009747F2"/>
    <w:rsid w:val="00983ADC"/>
    <w:rsid w:val="0098741D"/>
    <w:rsid w:val="009915D3"/>
    <w:rsid w:val="00993223"/>
    <w:rsid w:val="00994B2F"/>
    <w:rsid w:val="009955B1"/>
    <w:rsid w:val="00997F4E"/>
    <w:rsid w:val="009A06C7"/>
    <w:rsid w:val="009A0C4A"/>
    <w:rsid w:val="009A1249"/>
    <w:rsid w:val="009A7A55"/>
    <w:rsid w:val="009B71DC"/>
    <w:rsid w:val="009B7BEB"/>
    <w:rsid w:val="009C2C51"/>
    <w:rsid w:val="009C304C"/>
    <w:rsid w:val="009D1ABB"/>
    <w:rsid w:val="009D23C0"/>
    <w:rsid w:val="009D5B16"/>
    <w:rsid w:val="009E3098"/>
    <w:rsid w:val="009E4082"/>
    <w:rsid w:val="00A00603"/>
    <w:rsid w:val="00A04EC9"/>
    <w:rsid w:val="00A06424"/>
    <w:rsid w:val="00A07CF9"/>
    <w:rsid w:val="00A15E70"/>
    <w:rsid w:val="00A22900"/>
    <w:rsid w:val="00A24F66"/>
    <w:rsid w:val="00A25841"/>
    <w:rsid w:val="00A30F81"/>
    <w:rsid w:val="00A317FC"/>
    <w:rsid w:val="00A41F78"/>
    <w:rsid w:val="00A43365"/>
    <w:rsid w:val="00A47B47"/>
    <w:rsid w:val="00A53130"/>
    <w:rsid w:val="00A53DB8"/>
    <w:rsid w:val="00A662A8"/>
    <w:rsid w:val="00A6658A"/>
    <w:rsid w:val="00A71E12"/>
    <w:rsid w:val="00A81B5C"/>
    <w:rsid w:val="00A8280A"/>
    <w:rsid w:val="00A856EF"/>
    <w:rsid w:val="00A86A76"/>
    <w:rsid w:val="00A906B7"/>
    <w:rsid w:val="00A92969"/>
    <w:rsid w:val="00AA59CB"/>
    <w:rsid w:val="00AB26F4"/>
    <w:rsid w:val="00AB594C"/>
    <w:rsid w:val="00AC392F"/>
    <w:rsid w:val="00AC4658"/>
    <w:rsid w:val="00AD0F3F"/>
    <w:rsid w:val="00AD141B"/>
    <w:rsid w:val="00AE2656"/>
    <w:rsid w:val="00AE59D6"/>
    <w:rsid w:val="00AF0018"/>
    <w:rsid w:val="00AF348B"/>
    <w:rsid w:val="00AF3EA7"/>
    <w:rsid w:val="00AF4C7E"/>
    <w:rsid w:val="00B212D3"/>
    <w:rsid w:val="00B23713"/>
    <w:rsid w:val="00B23B46"/>
    <w:rsid w:val="00B263EE"/>
    <w:rsid w:val="00B26833"/>
    <w:rsid w:val="00B47BFB"/>
    <w:rsid w:val="00B577CF"/>
    <w:rsid w:val="00B6292C"/>
    <w:rsid w:val="00B674C0"/>
    <w:rsid w:val="00B67D0F"/>
    <w:rsid w:val="00B70435"/>
    <w:rsid w:val="00B71109"/>
    <w:rsid w:val="00B72B3B"/>
    <w:rsid w:val="00B75608"/>
    <w:rsid w:val="00B81278"/>
    <w:rsid w:val="00B8129E"/>
    <w:rsid w:val="00B84A3C"/>
    <w:rsid w:val="00B90838"/>
    <w:rsid w:val="00B91CBD"/>
    <w:rsid w:val="00B97889"/>
    <w:rsid w:val="00BA0BCD"/>
    <w:rsid w:val="00BA25C4"/>
    <w:rsid w:val="00BA310E"/>
    <w:rsid w:val="00BA647C"/>
    <w:rsid w:val="00BA69F5"/>
    <w:rsid w:val="00BB3F8D"/>
    <w:rsid w:val="00BB4092"/>
    <w:rsid w:val="00BB5576"/>
    <w:rsid w:val="00BB69C3"/>
    <w:rsid w:val="00BC118C"/>
    <w:rsid w:val="00BC2931"/>
    <w:rsid w:val="00BC4024"/>
    <w:rsid w:val="00BC6537"/>
    <w:rsid w:val="00BD1346"/>
    <w:rsid w:val="00BD2AA2"/>
    <w:rsid w:val="00BD7D5C"/>
    <w:rsid w:val="00BE1B69"/>
    <w:rsid w:val="00BE4355"/>
    <w:rsid w:val="00BE67BF"/>
    <w:rsid w:val="00BE771F"/>
    <w:rsid w:val="00BF1063"/>
    <w:rsid w:val="00BF4CDD"/>
    <w:rsid w:val="00C01F81"/>
    <w:rsid w:val="00C0312F"/>
    <w:rsid w:val="00C14798"/>
    <w:rsid w:val="00C16FFE"/>
    <w:rsid w:val="00C20558"/>
    <w:rsid w:val="00C21D2A"/>
    <w:rsid w:val="00C21D8F"/>
    <w:rsid w:val="00C3179F"/>
    <w:rsid w:val="00C34259"/>
    <w:rsid w:val="00C343B6"/>
    <w:rsid w:val="00C34E56"/>
    <w:rsid w:val="00C35A4C"/>
    <w:rsid w:val="00C4531F"/>
    <w:rsid w:val="00C4658D"/>
    <w:rsid w:val="00C500B9"/>
    <w:rsid w:val="00C509FD"/>
    <w:rsid w:val="00C50E74"/>
    <w:rsid w:val="00C53F98"/>
    <w:rsid w:val="00C5697D"/>
    <w:rsid w:val="00C62CD7"/>
    <w:rsid w:val="00C63242"/>
    <w:rsid w:val="00C63491"/>
    <w:rsid w:val="00C64085"/>
    <w:rsid w:val="00C70434"/>
    <w:rsid w:val="00C7116D"/>
    <w:rsid w:val="00C72175"/>
    <w:rsid w:val="00C74BF8"/>
    <w:rsid w:val="00C74FF4"/>
    <w:rsid w:val="00C7617E"/>
    <w:rsid w:val="00C7649E"/>
    <w:rsid w:val="00C85568"/>
    <w:rsid w:val="00C91B89"/>
    <w:rsid w:val="00CA79D8"/>
    <w:rsid w:val="00CB1C7F"/>
    <w:rsid w:val="00CB7395"/>
    <w:rsid w:val="00CC0864"/>
    <w:rsid w:val="00CC1323"/>
    <w:rsid w:val="00CC6A7B"/>
    <w:rsid w:val="00CC7FE8"/>
    <w:rsid w:val="00CD04F0"/>
    <w:rsid w:val="00CD0E7F"/>
    <w:rsid w:val="00CD2DC9"/>
    <w:rsid w:val="00CD31CB"/>
    <w:rsid w:val="00CD5BD9"/>
    <w:rsid w:val="00CD6C43"/>
    <w:rsid w:val="00CE0BEB"/>
    <w:rsid w:val="00CE2361"/>
    <w:rsid w:val="00CE4612"/>
    <w:rsid w:val="00CE4FCE"/>
    <w:rsid w:val="00CF2350"/>
    <w:rsid w:val="00CF35A4"/>
    <w:rsid w:val="00CF38BD"/>
    <w:rsid w:val="00D07BF8"/>
    <w:rsid w:val="00D14D68"/>
    <w:rsid w:val="00D151AD"/>
    <w:rsid w:val="00D17C8D"/>
    <w:rsid w:val="00D25D92"/>
    <w:rsid w:val="00D336C1"/>
    <w:rsid w:val="00D34C33"/>
    <w:rsid w:val="00D37A71"/>
    <w:rsid w:val="00D444FB"/>
    <w:rsid w:val="00D44A04"/>
    <w:rsid w:val="00D61CCE"/>
    <w:rsid w:val="00D70B11"/>
    <w:rsid w:val="00D7235D"/>
    <w:rsid w:val="00D73E27"/>
    <w:rsid w:val="00D74081"/>
    <w:rsid w:val="00D75EC6"/>
    <w:rsid w:val="00D7615B"/>
    <w:rsid w:val="00D86C1D"/>
    <w:rsid w:val="00D91BC7"/>
    <w:rsid w:val="00D9340C"/>
    <w:rsid w:val="00DA480D"/>
    <w:rsid w:val="00DA4C84"/>
    <w:rsid w:val="00DB5784"/>
    <w:rsid w:val="00DC3951"/>
    <w:rsid w:val="00DC698F"/>
    <w:rsid w:val="00DD0918"/>
    <w:rsid w:val="00DD2EDB"/>
    <w:rsid w:val="00DE07CF"/>
    <w:rsid w:val="00DE0CCD"/>
    <w:rsid w:val="00DE3083"/>
    <w:rsid w:val="00DE5153"/>
    <w:rsid w:val="00DE69A1"/>
    <w:rsid w:val="00DF30E4"/>
    <w:rsid w:val="00DF4486"/>
    <w:rsid w:val="00DF5722"/>
    <w:rsid w:val="00DF6FF7"/>
    <w:rsid w:val="00E03F26"/>
    <w:rsid w:val="00E0520E"/>
    <w:rsid w:val="00E06F9C"/>
    <w:rsid w:val="00E07DED"/>
    <w:rsid w:val="00E105FA"/>
    <w:rsid w:val="00E16787"/>
    <w:rsid w:val="00E230ED"/>
    <w:rsid w:val="00E249FE"/>
    <w:rsid w:val="00E30C0A"/>
    <w:rsid w:val="00E30F17"/>
    <w:rsid w:val="00E41732"/>
    <w:rsid w:val="00E41910"/>
    <w:rsid w:val="00E4508B"/>
    <w:rsid w:val="00E45973"/>
    <w:rsid w:val="00E462EE"/>
    <w:rsid w:val="00E46B76"/>
    <w:rsid w:val="00E50C14"/>
    <w:rsid w:val="00E545F6"/>
    <w:rsid w:val="00E56270"/>
    <w:rsid w:val="00E56F4E"/>
    <w:rsid w:val="00E57ADD"/>
    <w:rsid w:val="00E57F56"/>
    <w:rsid w:val="00E606A5"/>
    <w:rsid w:val="00E63D25"/>
    <w:rsid w:val="00E65E02"/>
    <w:rsid w:val="00E70A35"/>
    <w:rsid w:val="00E71791"/>
    <w:rsid w:val="00E72853"/>
    <w:rsid w:val="00E905A5"/>
    <w:rsid w:val="00E91C7D"/>
    <w:rsid w:val="00E970B3"/>
    <w:rsid w:val="00EA15EE"/>
    <w:rsid w:val="00EA3B55"/>
    <w:rsid w:val="00EA4E2F"/>
    <w:rsid w:val="00EA709F"/>
    <w:rsid w:val="00EA76EE"/>
    <w:rsid w:val="00EB0EF6"/>
    <w:rsid w:val="00EB16A5"/>
    <w:rsid w:val="00EB77AC"/>
    <w:rsid w:val="00EC0FFF"/>
    <w:rsid w:val="00ED2EC4"/>
    <w:rsid w:val="00EE17FC"/>
    <w:rsid w:val="00EE42E8"/>
    <w:rsid w:val="00EE755B"/>
    <w:rsid w:val="00EF1128"/>
    <w:rsid w:val="00EF115A"/>
    <w:rsid w:val="00EF3172"/>
    <w:rsid w:val="00EF3F65"/>
    <w:rsid w:val="00EF5B19"/>
    <w:rsid w:val="00EF7052"/>
    <w:rsid w:val="00F16AED"/>
    <w:rsid w:val="00F22AF5"/>
    <w:rsid w:val="00F2783C"/>
    <w:rsid w:val="00F3316D"/>
    <w:rsid w:val="00F3642F"/>
    <w:rsid w:val="00F4025B"/>
    <w:rsid w:val="00F4241E"/>
    <w:rsid w:val="00F44C25"/>
    <w:rsid w:val="00F4733B"/>
    <w:rsid w:val="00F50BCB"/>
    <w:rsid w:val="00F51779"/>
    <w:rsid w:val="00F51B43"/>
    <w:rsid w:val="00F54463"/>
    <w:rsid w:val="00F5543A"/>
    <w:rsid w:val="00F5715E"/>
    <w:rsid w:val="00F576ED"/>
    <w:rsid w:val="00F57C54"/>
    <w:rsid w:val="00F61548"/>
    <w:rsid w:val="00F61CAB"/>
    <w:rsid w:val="00F6483A"/>
    <w:rsid w:val="00F649C8"/>
    <w:rsid w:val="00F6794F"/>
    <w:rsid w:val="00F75889"/>
    <w:rsid w:val="00F770F4"/>
    <w:rsid w:val="00F84514"/>
    <w:rsid w:val="00F85E54"/>
    <w:rsid w:val="00F926B2"/>
    <w:rsid w:val="00FA3D80"/>
    <w:rsid w:val="00FB4B86"/>
    <w:rsid w:val="00FB6145"/>
    <w:rsid w:val="00FB6A93"/>
    <w:rsid w:val="00FC1701"/>
    <w:rsid w:val="00FC215E"/>
    <w:rsid w:val="00FC2453"/>
    <w:rsid w:val="00FC3841"/>
    <w:rsid w:val="00FD10D7"/>
    <w:rsid w:val="00FD30A8"/>
    <w:rsid w:val="00FD3981"/>
    <w:rsid w:val="00FD3ADB"/>
    <w:rsid w:val="00FD4B61"/>
    <w:rsid w:val="00FD5F1E"/>
    <w:rsid w:val="00FE5EB5"/>
    <w:rsid w:val="00FE7133"/>
    <w:rsid w:val="00FE724D"/>
    <w:rsid w:val="00FF4E6D"/>
    <w:rsid w:val="011634BA"/>
    <w:rsid w:val="01306C26"/>
    <w:rsid w:val="01A4560E"/>
    <w:rsid w:val="01E64089"/>
    <w:rsid w:val="01EA323E"/>
    <w:rsid w:val="020A3461"/>
    <w:rsid w:val="02682BD0"/>
    <w:rsid w:val="02EA1FF0"/>
    <w:rsid w:val="031E5FB4"/>
    <w:rsid w:val="03341F94"/>
    <w:rsid w:val="03AF25D4"/>
    <w:rsid w:val="03B770DD"/>
    <w:rsid w:val="03E52682"/>
    <w:rsid w:val="049D72EF"/>
    <w:rsid w:val="04F90E3C"/>
    <w:rsid w:val="05003B20"/>
    <w:rsid w:val="054A5EB0"/>
    <w:rsid w:val="05943F1D"/>
    <w:rsid w:val="05CC7ABF"/>
    <w:rsid w:val="05FD0EBE"/>
    <w:rsid w:val="062C685E"/>
    <w:rsid w:val="06785979"/>
    <w:rsid w:val="067D2ED5"/>
    <w:rsid w:val="07673B4C"/>
    <w:rsid w:val="079E7BEB"/>
    <w:rsid w:val="091D31AC"/>
    <w:rsid w:val="095B1149"/>
    <w:rsid w:val="09DA6C9C"/>
    <w:rsid w:val="0A3612E3"/>
    <w:rsid w:val="0ACA4AF4"/>
    <w:rsid w:val="0ACC3010"/>
    <w:rsid w:val="0B1A6B5C"/>
    <w:rsid w:val="0B7256BE"/>
    <w:rsid w:val="0C1C3933"/>
    <w:rsid w:val="0C5949D9"/>
    <w:rsid w:val="0C9B3755"/>
    <w:rsid w:val="0CA53DF4"/>
    <w:rsid w:val="0D967EF4"/>
    <w:rsid w:val="0DB01F18"/>
    <w:rsid w:val="0DB140C0"/>
    <w:rsid w:val="0E7776DF"/>
    <w:rsid w:val="0E9D6ADF"/>
    <w:rsid w:val="0EB00464"/>
    <w:rsid w:val="0EE76027"/>
    <w:rsid w:val="0F175BD9"/>
    <w:rsid w:val="0F7D43B8"/>
    <w:rsid w:val="0FC322C2"/>
    <w:rsid w:val="0FD60598"/>
    <w:rsid w:val="10346FE5"/>
    <w:rsid w:val="103A6B45"/>
    <w:rsid w:val="10472E55"/>
    <w:rsid w:val="10FA003E"/>
    <w:rsid w:val="11117280"/>
    <w:rsid w:val="111D739C"/>
    <w:rsid w:val="112C7ACB"/>
    <w:rsid w:val="11395055"/>
    <w:rsid w:val="114865D1"/>
    <w:rsid w:val="114C3F17"/>
    <w:rsid w:val="11D80563"/>
    <w:rsid w:val="12A947A5"/>
    <w:rsid w:val="12D425EC"/>
    <w:rsid w:val="14294DB9"/>
    <w:rsid w:val="14CF5608"/>
    <w:rsid w:val="14F539F1"/>
    <w:rsid w:val="14F67033"/>
    <w:rsid w:val="15655266"/>
    <w:rsid w:val="15C6554B"/>
    <w:rsid w:val="15DA15A8"/>
    <w:rsid w:val="15ED41DD"/>
    <w:rsid w:val="16695E88"/>
    <w:rsid w:val="17B72AE3"/>
    <w:rsid w:val="18530814"/>
    <w:rsid w:val="186D11B5"/>
    <w:rsid w:val="18991B47"/>
    <w:rsid w:val="18B12D3E"/>
    <w:rsid w:val="18F9777A"/>
    <w:rsid w:val="1953361E"/>
    <w:rsid w:val="1A4148D2"/>
    <w:rsid w:val="1AAD5011"/>
    <w:rsid w:val="1AEB051A"/>
    <w:rsid w:val="1AFA3AE9"/>
    <w:rsid w:val="1B07745A"/>
    <w:rsid w:val="1B291E4B"/>
    <w:rsid w:val="1C25187F"/>
    <w:rsid w:val="1C5924C6"/>
    <w:rsid w:val="1C7F37E1"/>
    <w:rsid w:val="1CD24810"/>
    <w:rsid w:val="1E772DE0"/>
    <w:rsid w:val="1FA23EE2"/>
    <w:rsid w:val="20716874"/>
    <w:rsid w:val="20A072E0"/>
    <w:rsid w:val="20F124D6"/>
    <w:rsid w:val="21A656B1"/>
    <w:rsid w:val="22781F65"/>
    <w:rsid w:val="237C04CE"/>
    <w:rsid w:val="245E5F74"/>
    <w:rsid w:val="25967F71"/>
    <w:rsid w:val="25C31EE5"/>
    <w:rsid w:val="26863704"/>
    <w:rsid w:val="26B73C79"/>
    <w:rsid w:val="2702137C"/>
    <w:rsid w:val="272B071C"/>
    <w:rsid w:val="277C4C20"/>
    <w:rsid w:val="27C63C17"/>
    <w:rsid w:val="27F75817"/>
    <w:rsid w:val="28BE1ECC"/>
    <w:rsid w:val="28FA3955"/>
    <w:rsid w:val="292838CE"/>
    <w:rsid w:val="29431AF3"/>
    <w:rsid w:val="29764824"/>
    <w:rsid w:val="29BD3698"/>
    <w:rsid w:val="2A4B55E8"/>
    <w:rsid w:val="2A8C35CF"/>
    <w:rsid w:val="2A93379F"/>
    <w:rsid w:val="2A9901D3"/>
    <w:rsid w:val="2AC21AA2"/>
    <w:rsid w:val="2B16020C"/>
    <w:rsid w:val="2B8D3572"/>
    <w:rsid w:val="2BB7422E"/>
    <w:rsid w:val="2D016B72"/>
    <w:rsid w:val="2D484297"/>
    <w:rsid w:val="2D766A3E"/>
    <w:rsid w:val="2D95303E"/>
    <w:rsid w:val="2DA41EDB"/>
    <w:rsid w:val="2DDB28B4"/>
    <w:rsid w:val="2E260424"/>
    <w:rsid w:val="2EAF0AD9"/>
    <w:rsid w:val="2EC97BFC"/>
    <w:rsid w:val="2F6E4C4A"/>
    <w:rsid w:val="2F9F70FC"/>
    <w:rsid w:val="2FBD2C70"/>
    <w:rsid w:val="305D2E9B"/>
    <w:rsid w:val="30647B6D"/>
    <w:rsid w:val="30AF5F2E"/>
    <w:rsid w:val="30E71B9A"/>
    <w:rsid w:val="310848AE"/>
    <w:rsid w:val="310A5EFB"/>
    <w:rsid w:val="31192038"/>
    <w:rsid w:val="314E78FF"/>
    <w:rsid w:val="319149D3"/>
    <w:rsid w:val="31AC0658"/>
    <w:rsid w:val="31BA372A"/>
    <w:rsid w:val="31E31A85"/>
    <w:rsid w:val="320220B9"/>
    <w:rsid w:val="32846AE4"/>
    <w:rsid w:val="336035B9"/>
    <w:rsid w:val="337E4E8E"/>
    <w:rsid w:val="35212ABE"/>
    <w:rsid w:val="35574910"/>
    <w:rsid w:val="35622BC0"/>
    <w:rsid w:val="35734D24"/>
    <w:rsid w:val="35AA134C"/>
    <w:rsid w:val="35AE2DA9"/>
    <w:rsid w:val="35E17B5E"/>
    <w:rsid w:val="35F01BD1"/>
    <w:rsid w:val="363B62E3"/>
    <w:rsid w:val="36E52B4F"/>
    <w:rsid w:val="376605FA"/>
    <w:rsid w:val="3797341D"/>
    <w:rsid w:val="379A059E"/>
    <w:rsid w:val="37F5699D"/>
    <w:rsid w:val="3819013D"/>
    <w:rsid w:val="381E2E6B"/>
    <w:rsid w:val="386745B4"/>
    <w:rsid w:val="38A01613"/>
    <w:rsid w:val="39386386"/>
    <w:rsid w:val="39852BE6"/>
    <w:rsid w:val="3A0549F5"/>
    <w:rsid w:val="3A954F32"/>
    <w:rsid w:val="3AC864C6"/>
    <w:rsid w:val="3ACC7D31"/>
    <w:rsid w:val="3B1B4896"/>
    <w:rsid w:val="3B714194"/>
    <w:rsid w:val="3C2A2F3C"/>
    <w:rsid w:val="3C2A6C50"/>
    <w:rsid w:val="3C362D47"/>
    <w:rsid w:val="3CA4287D"/>
    <w:rsid w:val="3CAC40D9"/>
    <w:rsid w:val="3CE8045B"/>
    <w:rsid w:val="3CF71ED9"/>
    <w:rsid w:val="3D44796F"/>
    <w:rsid w:val="3D542A9D"/>
    <w:rsid w:val="3D7B404C"/>
    <w:rsid w:val="3D9A39B8"/>
    <w:rsid w:val="3DA80999"/>
    <w:rsid w:val="3E1E072C"/>
    <w:rsid w:val="3E201B30"/>
    <w:rsid w:val="3E6C22F5"/>
    <w:rsid w:val="3F5D79A5"/>
    <w:rsid w:val="407E719F"/>
    <w:rsid w:val="408F2D27"/>
    <w:rsid w:val="40D01700"/>
    <w:rsid w:val="40FE559B"/>
    <w:rsid w:val="41312521"/>
    <w:rsid w:val="41677A8F"/>
    <w:rsid w:val="418435A9"/>
    <w:rsid w:val="41F002BC"/>
    <w:rsid w:val="423D3159"/>
    <w:rsid w:val="423F025A"/>
    <w:rsid w:val="426B54C6"/>
    <w:rsid w:val="42B027CF"/>
    <w:rsid w:val="42CC6E65"/>
    <w:rsid w:val="42E06FEF"/>
    <w:rsid w:val="42FC7E42"/>
    <w:rsid w:val="434D5124"/>
    <w:rsid w:val="43BF6302"/>
    <w:rsid w:val="43D57E05"/>
    <w:rsid w:val="452839F3"/>
    <w:rsid w:val="45CB064C"/>
    <w:rsid w:val="462C0CDE"/>
    <w:rsid w:val="4636421F"/>
    <w:rsid w:val="465D5C81"/>
    <w:rsid w:val="478D4BC4"/>
    <w:rsid w:val="47A113A9"/>
    <w:rsid w:val="47F95026"/>
    <w:rsid w:val="48724B5D"/>
    <w:rsid w:val="48E41013"/>
    <w:rsid w:val="491561E9"/>
    <w:rsid w:val="49B02549"/>
    <w:rsid w:val="49C84975"/>
    <w:rsid w:val="4A021749"/>
    <w:rsid w:val="4A210E76"/>
    <w:rsid w:val="4A77488F"/>
    <w:rsid w:val="4A9C7F23"/>
    <w:rsid w:val="4BD12E89"/>
    <w:rsid w:val="4BE92227"/>
    <w:rsid w:val="4C7B7792"/>
    <w:rsid w:val="4CB912ED"/>
    <w:rsid w:val="4CC966D1"/>
    <w:rsid w:val="4CCB048B"/>
    <w:rsid w:val="4D4C2117"/>
    <w:rsid w:val="4D9E2C6E"/>
    <w:rsid w:val="4DF55342"/>
    <w:rsid w:val="4E260BE9"/>
    <w:rsid w:val="4E924056"/>
    <w:rsid w:val="4EB26F0F"/>
    <w:rsid w:val="4F0E5F3D"/>
    <w:rsid w:val="4F2B5569"/>
    <w:rsid w:val="4F4204F5"/>
    <w:rsid w:val="503913BE"/>
    <w:rsid w:val="513C1F20"/>
    <w:rsid w:val="515E212D"/>
    <w:rsid w:val="518E2BAF"/>
    <w:rsid w:val="519B78EC"/>
    <w:rsid w:val="51A82FE6"/>
    <w:rsid w:val="52152742"/>
    <w:rsid w:val="522833FF"/>
    <w:rsid w:val="525D7B31"/>
    <w:rsid w:val="526371A3"/>
    <w:rsid w:val="52E37E50"/>
    <w:rsid w:val="53113B44"/>
    <w:rsid w:val="53F660CC"/>
    <w:rsid w:val="53F751E0"/>
    <w:rsid w:val="544373C3"/>
    <w:rsid w:val="546A3485"/>
    <w:rsid w:val="548135B2"/>
    <w:rsid w:val="54F112CA"/>
    <w:rsid w:val="551B649D"/>
    <w:rsid w:val="556B7E4B"/>
    <w:rsid w:val="556D43B5"/>
    <w:rsid w:val="56093657"/>
    <w:rsid w:val="56145661"/>
    <w:rsid w:val="56777FD5"/>
    <w:rsid w:val="569753AA"/>
    <w:rsid w:val="578A72BC"/>
    <w:rsid w:val="57E42C52"/>
    <w:rsid w:val="583A5157"/>
    <w:rsid w:val="58972EA1"/>
    <w:rsid w:val="5A11336E"/>
    <w:rsid w:val="5A1256A3"/>
    <w:rsid w:val="5A8C7776"/>
    <w:rsid w:val="5A9D57A4"/>
    <w:rsid w:val="5AB648BD"/>
    <w:rsid w:val="5AC72F9F"/>
    <w:rsid w:val="5AEF6649"/>
    <w:rsid w:val="5B951DB9"/>
    <w:rsid w:val="5BCC177A"/>
    <w:rsid w:val="5C3469CD"/>
    <w:rsid w:val="5C5D521A"/>
    <w:rsid w:val="5CA93E13"/>
    <w:rsid w:val="5D3C20D6"/>
    <w:rsid w:val="5EB66553"/>
    <w:rsid w:val="5EE81948"/>
    <w:rsid w:val="5EFC20D4"/>
    <w:rsid w:val="60267F48"/>
    <w:rsid w:val="60721A17"/>
    <w:rsid w:val="60974D73"/>
    <w:rsid w:val="60CB2971"/>
    <w:rsid w:val="615303CD"/>
    <w:rsid w:val="617967C4"/>
    <w:rsid w:val="620170B0"/>
    <w:rsid w:val="62A46247"/>
    <w:rsid w:val="62CC275F"/>
    <w:rsid w:val="630B7B1E"/>
    <w:rsid w:val="63BA1225"/>
    <w:rsid w:val="641952E5"/>
    <w:rsid w:val="64290636"/>
    <w:rsid w:val="64D56D47"/>
    <w:rsid w:val="6535429E"/>
    <w:rsid w:val="6632367D"/>
    <w:rsid w:val="66636084"/>
    <w:rsid w:val="66751F52"/>
    <w:rsid w:val="66784A68"/>
    <w:rsid w:val="667F7C31"/>
    <w:rsid w:val="66C15565"/>
    <w:rsid w:val="66D74085"/>
    <w:rsid w:val="671A3559"/>
    <w:rsid w:val="67487A62"/>
    <w:rsid w:val="67537B15"/>
    <w:rsid w:val="6782428F"/>
    <w:rsid w:val="67BD5045"/>
    <w:rsid w:val="67D80B0C"/>
    <w:rsid w:val="68026732"/>
    <w:rsid w:val="6805147B"/>
    <w:rsid w:val="68FA6C2C"/>
    <w:rsid w:val="69004E84"/>
    <w:rsid w:val="69123867"/>
    <w:rsid w:val="69253DB3"/>
    <w:rsid w:val="699B45A8"/>
    <w:rsid w:val="6A327846"/>
    <w:rsid w:val="6AC51D57"/>
    <w:rsid w:val="6B434F55"/>
    <w:rsid w:val="6BEE717C"/>
    <w:rsid w:val="6BF304AA"/>
    <w:rsid w:val="6C175A97"/>
    <w:rsid w:val="6C5D2E04"/>
    <w:rsid w:val="6C643224"/>
    <w:rsid w:val="6C6C15BB"/>
    <w:rsid w:val="6C8F6AA9"/>
    <w:rsid w:val="6C9F43D9"/>
    <w:rsid w:val="6CB548E5"/>
    <w:rsid w:val="6CBB0B04"/>
    <w:rsid w:val="6CCB16E2"/>
    <w:rsid w:val="6D7E324E"/>
    <w:rsid w:val="6E105A06"/>
    <w:rsid w:val="6E1B5F42"/>
    <w:rsid w:val="6E656944"/>
    <w:rsid w:val="6E925AB5"/>
    <w:rsid w:val="6EB9641D"/>
    <w:rsid w:val="6FA9018B"/>
    <w:rsid w:val="6FB84DB9"/>
    <w:rsid w:val="6FC55530"/>
    <w:rsid w:val="706C67AB"/>
    <w:rsid w:val="70A95FCD"/>
    <w:rsid w:val="70EC1511"/>
    <w:rsid w:val="70EC4385"/>
    <w:rsid w:val="71507EF6"/>
    <w:rsid w:val="71CB6BC6"/>
    <w:rsid w:val="71FB4733"/>
    <w:rsid w:val="72552C67"/>
    <w:rsid w:val="725F3AE0"/>
    <w:rsid w:val="72E563F6"/>
    <w:rsid w:val="735D7D74"/>
    <w:rsid w:val="73BA2EB7"/>
    <w:rsid w:val="73DF69B7"/>
    <w:rsid w:val="74034B2E"/>
    <w:rsid w:val="74731528"/>
    <w:rsid w:val="748052C6"/>
    <w:rsid w:val="74B0635C"/>
    <w:rsid w:val="74DE5F63"/>
    <w:rsid w:val="75E74CC2"/>
    <w:rsid w:val="75F66D11"/>
    <w:rsid w:val="765C08DB"/>
    <w:rsid w:val="772F2908"/>
    <w:rsid w:val="7770512B"/>
    <w:rsid w:val="78026B9F"/>
    <w:rsid w:val="78732B5C"/>
    <w:rsid w:val="78EA7CA3"/>
    <w:rsid w:val="794A0F97"/>
    <w:rsid w:val="79674E67"/>
    <w:rsid w:val="79D63E58"/>
    <w:rsid w:val="79D957DC"/>
    <w:rsid w:val="7A46335C"/>
    <w:rsid w:val="7A467A27"/>
    <w:rsid w:val="7A7229D2"/>
    <w:rsid w:val="7AB531AF"/>
    <w:rsid w:val="7AD913ED"/>
    <w:rsid w:val="7B910D94"/>
    <w:rsid w:val="7BD84041"/>
    <w:rsid w:val="7C534BA0"/>
    <w:rsid w:val="7CBC3344"/>
    <w:rsid w:val="7D4160AB"/>
    <w:rsid w:val="7D5A177C"/>
    <w:rsid w:val="7D641E64"/>
    <w:rsid w:val="7DAB6ED5"/>
    <w:rsid w:val="7E0B04E1"/>
    <w:rsid w:val="7E747A4C"/>
    <w:rsid w:val="7EB8182F"/>
    <w:rsid w:val="7F10024D"/>
    <w:rsid w:val="7F796C94"/>
    <w:rsid w:val="7FA66AB1"/>
    <w:rsid w:val="7FD4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7"/>
    <w:qFormat/>
    <w:uiPriority w:val="0"/>
    <w:pPr>
      <w:keepNext/>
      <w:spacing w:before="120"/>
      <w:jc w:val="center"/>
      <w:outlineLvl w:val="0"/>
    </w:pPr>
    <w:rPr>
      <w:b/>
      <w:sz w:val="44"/>
    </w:rPr>
  </w:style>
  <w:style w:type="paragraph" w:styleId="3">
    <w:name w:val="heading 2"/>
    <w:basedOn w:val="1"/>
    <w:next w:val="1"/>
    <w:link w:val="43"/>
    <w:qFormat/>
    <w:uiPriority w:val="0"/>
    <w:pPr>
      <w:keepNext/>
      <w:keepLines/>
      <w:spacing w:before="260" w:after="260" w:line="416" w:lineRule="auto"/>
      <w:outlineLvl w:val="1"/>
    </w:pPr>
    <w:rPr>
      <w:rFonts w:ascii="宋体" w:hAnsi="宋体"/>
      <w:b/>
      <w:bCs/>
      <w:sz w:val="32"/>
      <w:szCs w:val="32"/>
    </w:rPr>
  </w:style>
  <w:style w:type="paragraph" w:styleId="4">
    <w:name w:val="heading 3"/>
    <w:basedOn w:val="1"/>
    <w:next w:val="1"/>
    <w:link w:val="69"/>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28">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6">
    <w:name w:val="Normal Indent"/>
    <w:basedOn w:val="1"/>
    <w:link w:val="40"/>
    <w:qFormat/>
    <w:uiPriority w:val="0"/>
    <w:pPr>
      <w:ind w:firstLine="420" w:firstLineChars="200"/>
    </w:pPr>
  </w:style>
  <w:style w:type="paragraph" w:styleId="7">
    <w:name w:val="caption"/>
    <w:basedOn w:val="1"/>
    <w:next w:val="1"/>
    <w:qFormat/>
    <w:uiPriority w:val="0"/>
    <w:pPr>
      <w:spacing w:before="152" w:after="160"/>
    </w:pPr>
    <w:rPr>
      <w:rFonts w:eastAsia="黑体" w:cs="Arial"/>
      <w:sz w:val="20"/>
    </w:rPr>
  </w:style>
  <w:style w:type="paragraph" w:styleId="8">
    <w:name w:val="annotation text"/>
    <w:basedOn w:val="1"/>
    <w:semiHidden/>
    <w:qFormat/>
    <w:uiPriority w:val="0"/>
    <w:pPr>
      <w:jc w:val="left"/>
    </w:pPr>
  </w:style>
  <w:style w:type="paragraph" w:styleId="9">
    <w:name w:val="Body Text"/>
    <w:basedOn w:val="1"/>
    <w:link w:val="73"/>
    <w:qFormat/>
    <w:uiPriority w:val="0"/>
    <w:rPr>
      <w:rFonts w:ascii="宋体" w:hAnsi="宋体"/>
      <w:spacing w:val="-4"/>
      <w:sz w:val="28"/>
    </w:rPr>
  </w:style>
  <w:style w:type="paragraph" w:styleId="10">
    <w:name w:val="Body Text Indent"/>
    <w:basedOn w:val="1"/>
    <w:qFormat/>
    <w:uiPriority w:val="0"/>
    <w:pPr>
      <w:ind w:firstLine="560" w:firstLineChars="200"/>
    </w:pPr>
    <w:rPr>
      <w:rFonts w:ascii="宋体" w:hAnsi="宋体"/>
      <w:sz w:val="28"/>
    </w:rPr>
  </w:style>
  <w:style w:type="paragraph" w:styleId="11">
    <w:name w:val="Plain Text"/>
    <w:basedOn w:val="1"/>
    <w:link w:val="48"/>
    <w:qFormat/>
    <w:uiPriority w:val="0"/>
    <w:pPr>
      <w:adjustRightInd w:val="0"/>
      <w:spacing w:line="312" w:lineRule="atLeast"/>
      <w:textAlignment w:val="baseline"/>
    </w:pPr>
    <w:rPr>
      <w:rFonts w:ascii="宋体" w:hAnsi="Courier New"/>
      <w:kern w:val="0"/>
    </w:rPr>
  </w:style>
  <w:style w:type="paragraph" w:styleId="12">
    <w:name w:val="Date"/>
    <w:basedOn w:val="1"/>
    <w:next w:val="1"/>
    <w:link w:val="67"/>
    <w:unhideWhenUsed/>
    <w:qFormat/>
    <w:uiPriority w:val="0"/>
    <w:pPr>
      <w:adjustRightInd w:val="0"/>
      <w:spacing w:line="312" w:lineRule="atLeast"/>
      <w:jc w:val="right"/>
    </w:pPr>
    <w:rPr>
      <w:kern w:val="0"/>
      <w:sz w:val="20"/>
    </w:rPr>
  </w:style>
  <w:style w:type="paragraph" w:styleId="13">
    <w:name w:val="Body Text Indent 2"/>
    <w:basedOn w:val="1"/>
    <w:qFormat/>
    <w:uiPriority w:val="0"/>
    <w:pPr>
      <w:ind w:firstLine="552" w:firstLineChars="200"/>
    </w:pPr>
    <w:rPr>
      <w:spacing w:val="-2"/>
      <w:sz w:val="28"/>
    </w:rPr>
  </w:style>
  <w:style w:type="paragraph" w:styleId="14">
    <w:name w:val="Balloon Text"/>
    <w:basedOn w:val="1"/>
    <w:semiHidden/>
    <w:qFormat/>
    <w:uiPriority w:val="0"/>
    <w:rPr>
      <w:sz w:val="18"/>
      <w:szCs w:val="18"/>
    </w:rPr>
  </w:style>
  <w:style w:type="paragraph" w:styleId="15">
    <w:name w:val="footer"/>
    <w:basedOn w:val="1"/>
    <w:link w:val="37"/>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ind w:firstLine="544" w:firstLineChars="200"/>
    </w:pPr>
    <w:rPr>
      <w:spacing w:val="-4"/>
      <w:sz w:val="28"/>
    </w:rPr>
  </w:style>
  <w:style w:type="paragraph" w:styleId="20">
    <w:name w:val="toc 2"/>
    <w:basedOn w:val="1"/>
    <w:next w:val="1"/>
    <w:qFormat/>
    <w:uiPriority w:val="39"/>
    <w:pPr>
      <w:ind w:left="420" w:leftChars="200"/>
    </w:pPr>
  </w:style>
  <w:style w:type="paragraph" w:styleId="21">
    <w:name w:val="Body Text 2"/>
    <w:basedOn w:val="1"/>
    <w:qFormat/>
    <w:uiPriority w:val="0"/>
    <w:rPr>
      <w:spacing w:val="-20"/>
      <w:sz w:val="24"/>
    </w:rPr>
  </w:style>
  <w:style w:type="paragraph" w:styleId="22">
    <w:name w:val="annotation subject"/>
    <w:basedOn w:val="8"/>
    <w:next w:val="8"/>
    <w:semiHidden/>
    <w:qFormat/>
    <w:uiPriority w:val="0"/>
    <w:rPr>
      <w:b/>
      <w:bCs/>
    </w:rPr>
  </w:style>
  <w:style w:type="paragraph" w:styleId="23">
    <w:name w:val="Body Text First Indent"/>
    <w:basedOn w:val="9"/>
    <w:link w:val="74"/>
    <w:qFormat/>
    <w:uiPriority w:val="0"/>
    <w:pPr>
      <w:spacing w:after="120"/>
      <w:ind w:firstLine="100" w:firstLineChars="100"/>
    </w:pPr>
  </w:style>
  <w:style w:type="paragraph" w:styleId="24">
    <w:name w:val="Body Text First Indent 2"/>
    <w:basedOn w:val="10"/>
    <w:qFormat/>
    <w:uiPriority w:val="0"/>
    <w:pPr>
      <w:ind w:firstLine="420"/>
    </w:pPr>
  </w:style>
  <w:style w:type="table" w:styleId="26">
    <w:name w:val="Table Grid"/>
    <w:basedOn w:val="2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Table Classic 1"/>
    <w:basedOn w:val="25"/>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29">
    <w:name w:val="page number"/>
    <w:basedOn w:val="28"/>
    <w:qFormat/>
    <w:uiPriority w:val="0"/>
  </w:style>
  <w:style w:type="character" w:styleId="30">
    <w:name w:val="Hyperlink"/>
    <w:qFormat/>
    <w:uiPriority w:val="99"/>
    <w:rPr>
      <w:color w:val="0000FF"/>
      <w:u w:val="none"/>
    </w:rPr>
  </w:style>
  <w:style w:type="character" w:styleId="31">
    <w:name w:val="annotation reference"/>
    <w:semiHidden/>
    <w:qFormat/>
    <w:uiPriority w:val="0"/>
    <w:rPr>
      <w:sz w:val="21"/>
      <w:szCs w:val="21"/>
    </w:rPr>
  </w:style>
  <w:style w:type="character" w:customStyle="1" w:styleId="32">
    <w:name w:val="表单位 Char Char"/>
    <w:link w:val="33"/>
    <w:qFormat/>
    <w:uiPriority w:val="0"/>
    <w:rPr>
      <w:rFonts w:cs="宋体"/>
      <w:kern w:val="2"/>
      <w:sz w:val="21"/>
    </w:rPr>
  </w:style>
  <w:style w:type="paragraph" w:customStyle="1" w:styleId="33">
    <w:name w:val="表单位"/>
    <w:basedOn w:val="1"/>
    <w:link w:val="32"/>
    <w:qFormat/>
    <w:uiPriority w:val="0"/>
    <w:pPr>
      <w:widowControl/>
      <w:spacing w:line="300" w:lineRule="exact"/>
      <w:jc w:val="right"/>
    </w:pPr>
  </w:style>
  <w:style w:type="character" w:customStyle="1" w:styleId="34">
    <w:name w:val="样式1 Char Char"/>
    <w:qFormat/>
    <w:uiPriority w:val="0"/>
    <w:rPr>
      <w:rFonts w:eastAsia="宋体"/>
      <w:kern w:val="2"/>
      <w:sz w:val="24"/>
      <w:lang w:val="en-US" w:eastAsia="zh-CN"/>
    </w:rPr>
  </w:style>
  <w:style w:type="character" w:customStyle="1" w:styleId="35">
    <w:name w:val="页眉 字符"/>
    <w:link w:val="16"/>
    <w:qFormat/>
    <w:uiPriority w:val="99"/>
    <w:rPr>
      <w:rFonts w:eastAsia="宋体"/>
      <w:kern w:val="2"/>
      <w:sz w:val="18"/>
      <w:szCs w:val="18"/>
      <w:lang w:val="en-US" w:eastAsia="zh-CN" w:bidi="ar-SA"/>
    </w:rPr>
  </w:style>
  <w:style w:type="character" w:customStyle="1" w:styleId="36">
    <w:name w:val="csc1"/>
    <w:qFormat/>
    <w:uiPriority w:val="0"/>
    <w:rPr>
      <w:rFonts w:hint="default"/>
      <w:sz w:val="21"/>
    </w:rPr>
  </w:style>
  <w:style w:type="character" w:customStyle="1" w:styleId="37">
    <w:name w:val="页脚 字符"/>
    <w:link w:val="15"/>
    <w:qFormat/>
    <w:uiPriority w:val="99"/>
    <w:rPr>
      <w:kern w:val="2"/>
      <w:sz w:val="18"/>
      <w:szCs w:val="18"/>
    </w:rPr>
  </w:style>
  <w:style w:type="character" w:customStyle="1" w:styleId="38">
    <w:name w:val="样式1 Char"/>
    <w:link w:val="39"/>
    <w:qFormat/>
    <w:uiPriority w:val="0"/>
    <w:rPr>
      <w:rFonts w:eastAsia="宋体"/>
      <w:kern w:val="2"/>
      <w:sz w:val="24"/>
      <w:lang w:val="en-US" w:eastAsia="zh-CN" w:bidi="ar-SA"/>
    </w:rPr>
  </w:style>
  <w:style w:type="paragraph" w:customStyle="1" w:styleId="39">
    <w:name w:val="样式1"/>
    <w:basedOn w:val="1"/>
    <w:link w:val="38"/>
    <w:qFormat/>
    <w:uiPriority w:val="0"/>
    <w:pPr>
      <w:adjustRightInd w:val="0"/>
      <w:spacing w:line="480" w:lineRule="exact"/>
      <w:ind w:firstLine="567"/>
    </w:pPr>
    <w:rPr>
      <w:sz w:val="24"/>
    </w:rPr>
  </w:style>
  <w:style w:type="character" w:customStyle="1" w:styleId="40">
    <w:name w:val="正文缩进 字符"/>
    <w:link w:val="6"/>
    <w:qFormat/>
    <w:uiPriority w:val="0"/>
    <w:rPr>
      <w:rFonts w:eastAsia="宋体"/>
      <w:kern w:val="2"/>
      <w:sz w:val="21"/>
      <w:lang w:val="en-US" w:eastAsia="zh-CN" w:bidi="ar-SA"/>
    </w:rPr>
  </w:style>
  <w:style w:type="character" w:customStyle="1" w:styleId="41">
    <w:name w:val="表格001 Char"/>
    <w:link w:val="42"/>
    <w:qFormat/>
    <w:uiPriority w:val="0"/>
    <w:rPr>
      <w:rFonts w:eastAsia="宋体"/>
      <w:kern w:val="2"/>
      <w:sz w:val="21"/>
      <w:lang w:val="en-US" w:eastAsia="zh-CN" w:bidi="ar-SA"/>
    </w:rPr>
  </w:style>
  <w:style w:type="paragraph" w:customStyle="1" w:styleId="42">
    <w:name w:val="表格001"/>
    <w:basedOn w:val="1"/>
    <w:link w:val="41"/>
    <w:qFormat/>
    <w:uiPriority w:val="0"/>
    <w:pPr>
      <w:jc w:val="center"/>
    </w:pPr>
  </w:style>
  <w:style w:type="character" w:customStyle="1" w:styleId="43">
    <w:name w:val="标题 2 字符"/>
    <w:link w:val="3"/>
    <w:qFormat/>
    <w:uiPriority w:val="0"/>
    <w:rPr>
      <w:rFonts w:ascii="宋体" w:hAnsi="宋体" w:eastAsia="宋体"/>
      <w:b/>
      <w:bCs/>
      <w:kern w:val="2"/>
      <w:sz w:val="32"/>
      <w:szCs w:val="32"/>
    </w:rPr>
  </w:style>
  <w:style w:type="character" w:customStyle="1" w:styleId="44">
    <w:name w:val="表格标题 Char Char"/>
    <w:link w:val="45"/>
    <w:qFormat/>
    <w:uiPriority w:val="0"/>
    <w:rPr>
      <w:rFonts w:ascii="仿宋_GB2312" w:eastAsia="仿宋_GB2312"/>
      <w:bCs/>
      <w:kern w:val="2"/>
      <w:sz w:val="28"/>
    </w:rPr>
  </w:style>
  <w:style w:type="paragraph" w:customStyle="1" w:styleId="45">
    <w:name w:val="表格标题"/>
    <w:basedOn w:val="1"/>
    <w:next w:val="6"/>
    <w:link w:val="44"/>
    <w:qFormat/>
    <w:uiPriority w:val="0"/>
    <w:pPr>
      <w:spacing w:line="500" w:lineRule="exact"/>
      <w:ind w:firstLine="200" w:firstLineChars="200"/>
      <w:jc w:val="left"/>
    </w:pPr>
    <w:rPr>
      <w:rFonts w:ascii="仿宋_GB2312" w:eastAsia="仿宋_GB2312"/>
      <w:bCs/>
      <w:sz w:val="28"/>
    </w:rPr>
  </w:style>
  <w:style w:type="character" w:customStyle="1" w:styleId="46">
    <w:name w:val="正文01 Char"/>
    <w:link w:val="47"/>
    <w:qFormat/>
    <w:uiPriority w:val="0"/>
    <w:rPr>
      <w:rFonts w:eastAsia="宋体"/>
      <w:kern w:val="2"/>
      <w:sz w:val="24"/>
      <w:lang w:val="en-US" w:eastAsia="zh-CN" w:bidi="ar-SA"/>
    </w:rPr>
  </w:style>
  <w:style w:type="paragraph" w:customStyle="1" w:styleId="47">
    <w:name w:val="正文01"/>
    <w:basedOn w:val="6"/>
    <w:link w:val="46"/>
    <w:qFormat/>
    <w:uiPriority w:val="0"/>
    <w:pPr>
      <w:spacing w:line="360" w:lineRule="auto"/>
      <w:ind w:firstLine="480"/>
    </w:pPr>
    <w:rPr>
      <w:sz w:val="24"/>
    </w:rPr>
  </w:style>
  <w:style w:type="character" w:customStyle="1" w:styleId="48">
    <w:name w:val="纯文本 字符"/>
    <w:link w:val="11"/>
    <w:qFormat/>
    <w:uiPriority w:val="0"/>
    <w:rPr>
      <w:rFonts w:ascii="宋体" w:hAnsi="Courier New" w:eastAsia="宋体"/>
      <w:sz w:val="21"/>
      <w:lang w:val="en-US" w:eastAsia="zh-CN" w:bidi="ar-SA"/>
    </w:rPr>
  </w:style>
  <w:style w:type="character" w:customStyle="1" w:styleId="49">
    <w:name w:val="正文01 Char Char"/>
    <w:qFormat/>
    <w:uiPriority w:val="0"/>
    <w:rPr>
      <w:rFonts w:eastAsia="宋体"/>
      <w:bCs/>
      <w:kern w:val="2"/>
      <w:sz w:val="24"/>
      <w:szCs w:val="24"/>
      <w:lang w:val="en-US" w:eastAsia="zh-CN" w:bidi="ar-SA"/>
    </w:rPr>
  </w:style>
  <w:style w:type="character" w:customStyle="1" w:styleId="50">
    <w:name w:val="样式23 Char Char"/>
    <w:link w:val="51"/>
    <w:qFormat/>
    <w:uiPriority w:val="0"/>
    <w:rPr>
      <w:rFonts w:ascii="宋体" w:hAnsi="宋体"/>
      <w:color w:val="000000"/>
      <w:kern w:val="2"/>
      <w:sz w:val="24"/>
      <w:szCs w:val="24"/>
      <w:lang w:bidi="ar-SA"/>
    </w:rPr>
  </w:style>
  <w:style w:type="paragraph" w:customStyle="1" w:styleId="51">
    <w:name w:val="样式23"/>
    <w:basedOn w:val="1"/>
    <w:link w:val="50"/>
    <w:qFormat/>
    <w:uiPriority w:val="0"/>
    <w:pPr>
      <w:spacing w:line="360" w:lineRule="auto"/>
      <w:ind w:firstLine="480" w:firstLineChars="200"/>
      <w:jc w:val="left"/>
    </w:pPr>
    <w:rPr>
      <w:rFonts w:ascii="宋体" w:hAnsi="宋体"/>
      <w:color w:val="000000"/>
      <w:sz w:val="24"/>
      <w:szCs w:val="24"/>
    </w:rPr>
  </w:style>
  <w:style w:type="paragraph" w:customStyle="1" w:styleId="52">
    <w:name w:val="表格正文"/>
    <w:basedOn w:val="1"/>
    <w:qFormat/>
    <w:uiPriority w:val="0"/>
    <w:pPr>
      <w:spacing w:line="360" w:lineRule="exact"/>
      <w:jc w:val="center"/>
    </w:pPr>
    <w:rPr>
      <w:szCs w:val="24"/>
    </w:rPr>
  </w:style>
  <w:style w:type="paragraph" w:customStyle="1" w:styleId="53">
    <w:name w:val="表格文字"/>
    <w:basedOn w:val="1"/>
    <w:qFormat/>
    <w:uiPriority w:val="0"/>
    <w:pPr>
      <w:jc w:val="center"/>
    </w:pPr>
    <w:rPr>
      <w:rFonts w:ascii="仿宋_GB2312" w:hAnsi="Arial Black" w:eastAsia="仿宋_GB2312"/>
      <w:kern w:val="44"/>
      <w:sz w:val="24"/>
    </w:rPr>
  </w:style>
  <w:style w:type="paragraph" w:customStyle="1" w:styleId="54">
    <w:name w:val="标题002"/>
    <w:basedOn w:val="1"/>
    <w:qFormat/>
    <w:uiPriority w:val="0"/>
    <w:pPr>
      <w:spacing w:before="160" w:line="480" w:lineRule="exact"/>
      <w:outlineLvl w:val="1"/>
    </w:pPr>
    <w:rPr>
      <w:b/>
      <w:sz w:val="28"/>
    </w:rPr>
  </w:style>
  <w:style w:type="paragraph" w:customStyle="1" w:styleId="55">
    <w:name w:val="三级标题"/>
    <w:basedOn w:val="1"/>
    <w:qFormat/>
    <w:uiPriority w:val="0"/>
    <w:pPr>
      <w:spacing w:before="300" w:line="460" w:lineRule="exact"/>
      <w:outlineLvl w:val="2"/>
    </w:pPr>
    <w:rPr>
      <w:b/>
      <w:sz w:val="24"/>
      <w:szCs w:val="24"/>
    </w:rPr>
  </w:style>
  <w:style w:type="paragraph" w:customStyle="1" w:styleId="56">
    <w:name w:val="Body Text 22"/>
    <w:basedOn w:val="1"/>
    <w:qFormat/>
    <w:uiPriority w:val="0"/>
    <w:pPr>
      <w:adjustRightInd w:val="0"/>
      <w:spacing w:line="440" w:lineRule="atLeast"/>
      <w:ind w:firstLine="480"/>
      <w:textAlignment w:val="baseline"/>
    </w:pPr>
    <w:rPr>
      <w:rFonts w:eastAsia="仿宋_GB2312"/>
      <w:sz w:val="24"/>
    </w:rPr>
  </w:style>
  <w:style w:type="paragraph" w:customStyle="1" w:styleId="57">
    <w:name w:val="正文（首行缩进）"/>
    <w:basedOn w:val="9"/>
    <w:link w:val="75"/>
    <w:qFormat/>
    <w:uiPriority w:val="0"/>
    <w:pPr>
      <w:spacing w:line="300" w:lineRule="auto"/>
      <w:ind w:firstLine="200" w:firstLineChars="200"/>
    </w:pPr>
    <w:rPr>
      <w:rFonts w:ascii="Times New Roman" w:hAnsi="Times New Roman"/>
      <w:spacing w:val="0"/>
      <w:kern w:val="0"/>
      <w:sz w:val="21"/>
      <w:szCs w:val="24"/>
    </w:rPr>
  </w:style>
  <w:style w:type="paragraph" w:customStyle="1" w:styleId="58">
    <w:name w:val="表格"/>
    <w:qFormat/>
    <w:uiPriority w:val="0"/>
    <w:pPr>
      <w:spacing w:line="380" w:lineRule="exact"/>
      <w:jc w:val="center"/>
    </w:pPr>
    <w:rPr>
      <w:rFonts w:ascii="宋体" w:hAnsi="宋体" w:eastAsia="宋体" w:cs="Times New Roman"/>
      <w:snapToGrid w:val="0"/>
      <w:sz w:val="21"/>
      <w:lang w:val="en-US" w:eastAsia="zh-CN" w:bidi="ar-SA"/>
    </w:rPr>
  </w:style>
  <w:style w:type="paragraph" w:customStyle="1" w:styleId="59">
    <w:name w:val="报告表格"/>
    <w:basedOn w:val="1"/>
    <w:qFormat/>
    <w:uiPriority w:val="0"/>
    <w:pPr>
      <w:autoSpaceDE w:val="0"/>
      <w:autoSpaceDN w:val="0"/>
      <w:adjustRightInd w:val="0"/>
      <w:spacing w:before="40" w:after="40"/>
      <w:jc w:val="center"/>
      <w:textAlignment w:val="bottom"/>
    </w:pPr>
    <w:rPr>
      <w:kern w:val="0"/>
      <w:szCs w:val="21"/>
    </w:rPr>
  </w:style>
  <w:style w:type="paragraph" w:customStyle="1" w:styleId="60">
    <w:name w:val="1011"/>
    <w:basedOn w:val="2"/>
    <w:qFormat/>
    <w:uiPriority w:val="0"/>
    <w:pPr>
      <w:keepLines/>
      <w:pageBreakBefore/>
      <w:tabs>
        <w:tab w:val="left" w:pos="1080"/>
      </w:tabs>
      <w:spacing w:before="360" w:after="240" w:line="360" w:lineRule="auto"/>
      <w:ind w:left="425" w:hanging="425"/>
    </w:pPr>
    <w:rPr>
      <w:rFonts w:hAnsi="宋体"/>
      <w:b w:val="0"/>
      <w:kern w:val="44"/>
      <w:sz w:val="36"/>
      <w:szCs w:val="24"/>
    </w:rPr>
  </w:style>
  <w:style w:type="paragraph" w:customStyle="1" w:styleId="61">
    <w:name w:val="二级标题"/>
    <w:basedOn w:val="1"/>
    <w:qFormat/>
    <w:uiPriority w:val="0"/>
    <w:pPr>
      <w:spacing w:before="60" w:line="460" w:lineRule="exact"/>
      <w:outlineLvl w:val="1"/>
    </w:pPr>
    <w:rPr>
      <w:b/>
      <w:sz w:val="28"/>
      <w:szCs w:val="24"/>
    </w:rPr>
  </w:style>
  <w:style w:type="paragraph" w:customStyle="1" w:styleId="62">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6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4">
    <w:name w:val="1013"/>
    <w:basedOn w:val="1"/>
    <w:qFormat/>
    <w:uiPriority w:val="0"/>
    <w:pPr>
      <w:spacing w:line="360" w:lineRule="auto"/>
      <w:jc w:val="left"/>
      <w:outlineLvl w:val="2"/>
    </w:pPr>
    <w:rPr>
      <w:b/>
      <w:color w:val="000000"/>
      <w:sz w:val="24"/>
      <w:szCs w:val="24"/>
    </w:rPr>
  </w:style>
  <w:style w:type="paragraph" w:customStyle="1" w:styleId="65">
    <w:name w:val="标题003"/>
    <w:basedOn w:val="1"/>
    <w:qFormat/>
    <w:uiPriority w:val="0"/>
    <w:pPr>
      <w:spacing w:line="360" w:lineRule="auto"/>
      <w:outlineLvl w:val="2"/>
    </w:pPr>
    <w:rPr>
      <w:b/>
      <w:color w:val="000000"/>
      <w:sz w:val="28"/>
      <w:szCs w:val="28"/>
    </w:rPr>
  </w:style>
  <w:style w:type="character" w:customStyle="1" w:styleId="66">
    <w:name w:val="日期 Char"/>
    <w:basedOn w:val="28"/>
    <w:qFormat/>
    <w:uiPriority w:val="0"/>
  </w:style>
  <w:style w:type="character" w:customStyle="1" w:styleId="67">
    <w:name w:val="日期 字符"/>
    <w:basedOn w:val="28"/>
    <w:link w:val="12"/>
    <w:qFormat/>
    <w:uiPriority w:val="0"/>
    <w:rPr>
      <w:kern w:val="2"/>
      <w:sz w:val="21"/>
    </w:rPr>
  </w:style>
  <w:style w:type="paragraph" w:customStyle="1" w:styleId="68">
    <w:name w:val="标题3"/>
    <w:basedOn w:val="1"/>
    <w:link w:val="70"/>
    <w:qFormat/>
    <w:uiPriority w:val="0"/>
    <w:pPr>
      <w:spacing w:line="360" w:lineRule="auto"/>
    </w:pPr>
    <w:rPr>
      <w:b/>
      <w:bCs/>
      <w:sz w:val="28"/>
    </w:rPr>
  </w:style>
  <w:style w:type="character" w:customStyle="1" w:styleId="69">
    <w:name w:val="标题 3 字符"/>
    <w:basedOn w:val="28"/>
    <w:link w:val="4"/>
    <w:semiHidden/>
    <w:qFormat/>
    <w:uiPriority w:val="0"/>
    <w:rPr>
      <w:b/>
      <w:bCs/>
      <w:kern w:val="2"/>
      <w:sz w:val="32"/>
      <w:szCs w:val="32"/>
    </w:rPr>
  </w:style>
  <w:style w:type="character" w:customStyle="1" w:styleId="70">
    <w:name w:val="标题3 Char"/>
    <w:basedOn w:val="28"/>
    <w:link w:val="68"/>
    <w:qFormat/>
    <w:uiPriority w:val="0"/>
    <w:rPr>
      <w:b/>
      <w:bCs/>
      <w:kern w:val="2"/>
      <w:sz w:val="28"/>
    </w:rPr>
  </w:style>
  <w:style w:type="paragraph" w:customStyle="1" w:styleId="71">
    <w:name w:val="样式2"/>
    <w:basedOn w:val="1"/>
    <w:next w:val="1"/>
    <w:qFormat/>
    <w:uiPriority w:val="0"/>
    <w:pPr>
      <w:spacing w:line="360" w:lineRule="auto"/>
      <w:ind w:firstLine="622" w:firstLineChars="222"/>
    </w:pPr>
    <w:rPr>
      <w:sz w:val="28"/>
    </w:rPr>
  </w:style>
  <w:style w:type="paragraph" w:customStyle="1" w:styleId="72">
    <w:name w:val="居中正文"/>
    <w:basedOn w:val="23"/>
    <w:next w:val="10"/>
    <w:qFormat/>
    <w:uiPriority w:val="0"/>
  </w:style>
  <w:style w:type="character" w:customStyle="1" w:styleId="73">
    <w:name w:val="正文文本 字符"/>
    <w:basedOn w:val="28"/>
    <w:link w:val="9"/>
    <w:qFormat/>
    <w:uiPriority w:val="0"/>
    <w:rPr>
      <w:rFonts w:ascii="宋体" w:hAnsi="宋体"/>
      <w:spacing w:val="-4"/>
      <w:kern w:val="2"/>
      <w:sz w:val="28"/>
    </w:rPr>
  </w:style>
  <w:style w:type="character" w:customStyle="1" w:styleId="74">
    <w:name w:val="正文首行缩进 字符"/>
    <w:basedOn w:val="73"/>
    <w:link w:val="23"/>
    <w:qFormat/>
    <w:uiPriority w:val="0"/>
    <w:rPr>
      <w:rFonts w:ascii="宋体" w:hAnsi="宋体"/>
      <w:spacing w:val="-4"/>
      <w:kern w:val="2"/>
      <w:sz w:val="28"/>
    </w:rPr>
  </w:style>
  <w:style w:type="character" w:customStyle="1" w:styleId="75">
    <w:name w:val="正文（首行缩进） Char"/>
    <w:link w:val="57"/>
    <w:qFormat/>
    <w:uiPriority w:val="0"/>
    <w:rPr>
      <w:rFonts w:ascii="Times New Roman" w:hAnsi="Times New Roman"/>
      <w:spacing w:val="0"/>
      <w:kern w:val="0"/>
      <w:sz w:val="21"/>
      <w:szCs w:val="24"/>
    </w:rPr>
  </w:style>
  <w:style w:type="paragraph" w:customStyle="1" w:styleId="76">
    <w:name w:val="标题四"/>
    <w:basedOn w:val="5"/>
    <w:qFormat/>
    <w:uiPriority w:val="0"/>
    <w:pPr>
      <w:jc w:val="left"/>
    </w:pPr>
    <w:rPr>
      <w:rFonts w:eastAsia="宋体"/>
      <w:sz w:val="24"/>
    </w:rPr>
  </w:style>
  <w:style w:type="character" w:customStyle="1" w:styleId="77">
    <w:name w:val="标题 1 字符"/>
    <w:link w:val="2"/>
    <w:qFormat/>
    <w:uiPriority w:val="0"/>
    <w:rPr>
      <w:b/>
      <w:sz w:val="44"/>
    </w:rPr>
  </w:style>
  <w:style w:type="paragraph" w:customStyle="1" w:styleId="78">
    <w:name w:val="表格内容"/>
    <w:basedOn w:val="1"/>
    <w:next w:val="1"/>
    <w:qFormat/>
    <w:uiPriority w:val="0"/>
    <w:pPr>
      <w:adjustRightInd w:val="0"/>
      <w:snapToGrid w:val="0"/>
      <w:jc w:val="center"/>
    </w:pPr>
    <w:rPr>
      <w:sz w:val="20"/>
    </w:rPr>
  </w:style>
  <w:style w:type="paragraph" w:customStyle="1" w:styleId="79">
    <w:name w:val="图表标题"/>
    <w:qFormat/>
    <w:uiPriority w:val="0"/>
    <w:pPr>
      <w:widowControl w:val="0"/>
      <w:spacing w:before="78" w:beforeLines="25" w:after="78" w:afterLines="25" w:line="360" w:lineRule="auto"/>
      <w:jc w:val="center"/>
      <w:outlineLvl w:val="4"/>
    </w:pPr>
    <w:rPr>
      <w:rFonts w:ascii="宋体" w:hAnsi="宋体" w:eastAsia="宋体" w:cs="Times New Roman"/>
      <w:b/>
      <w:kern w:val="2"/>
      <w:sz w:val="21"/>
      <w:szCs w:val="24"/>
      <w:lang w:val="en-US" w:eastAsia="zh-CN" w:bidi="ar-SA"/>
    </w:rPr>
  </w:style>
  <w:style w:type="paragraph" w:customStyle="1" w:styleId="80">
    <w:name w:val="正文开头二"/>
    <w:basedOn w:val="1"/>
    <w:qFormat/>
    <w:uiPriority w:val="0"/>
    <w:pPr>
      <w:autoSpaceDE w:val="0"/>
      <w:autoSpaceDN w:val="0"/>
      <w:adjustRightInd w:val="0"/>
      <w:spacing w:before="60" w:line="400" w:lineRule="atLeast"/>
      <w:textAlignment w:val="baseline"/>
    </w:pPr>
    <w:rPr>
      <w:kern w:val="0"/>
    </w:rPr>
  </w:style>
  <w:style w:type="paragraph" w:customStyle="1" w:styleId="81">
    <w:name w:val="流程图"/>
    <w:basedOn w:val="1"/>
    <w:qFormat/>
    <w:uiPriority w:val="0"/>
    <w:pPr>
      <w:adjustRightInd w:val="0"/>
      <w:spacing w:line="200" w:lineRule="atLeast"/>
      <w:textAlignment w:val="baseline"/>
    </w:pPr>
    <w:rPr>
      <w:kern w:val="0"/>
      <w:szCs w:val="20"/>
    </w:rPr>
  </w:style>
  <w:style w:type="paragraph" w:customStyle="1" w:styleId="82">
    <w:name w:val="改表内容居中"/>
    <w:basedOn w:val="1"/>
    <w:qFormat/>
    <w:uiPriority w:val="0"/>
    <w:pPr>
      <w:jc w:val="center"/>
      <w:textAlignment w:val="center"/>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6303D-24D3-480D-930A-D689BB102AB5}">
  <ds:schemaRefs/>
</ds:datastoreItem>
</file>

<file path=docProps/app.xml><?xml version="1.0" encoding="utf-8"?>
<Properties xmlns="http://schemas.openxmlformats.org/officeDocument/2006/extended-properties" xmlns:vt="http://schemas.openxmlformats.org/officeDocument/2006/docPropsVTypes">
  <Template>Normal.dotm</Template>
  <Company>hbj</Company>
  <Pages>19</Pages>
  <Words>2062</Words>
  <Characters>11754</Characters>
  <Lines>97</Lines>
  <Paragraphs>27</Paragraphs>
  <TotalTime>4</TotalTime>
  <ScaleCrop>false</ScaleCrop>
  <LinksUpToDate>false</LinksUpToDate>
  <CharactersWithSpaces>13789</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2007-08-21T08:43:00Z</dcterms:created>
  <dc:creator>tzch</dc:creator>
  <cp:lastModifiedBy>晨光科技-神奇女侠</cp:lastModifiedBy>
  <cp:lastPrinted>2018-06-12T00:57:00Z</cp:lastPrinted>
  <dcterms:modified xsi:type="dcterms:W3CDTF">2020-06-19T08:21:19Z</dcterms:modified>
  <dc:title>目   录</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